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D3012">
      <w:pPr>
        <w:pStyle w:val="2"/>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b/>
          <w:bCs/>
          <w:color w:val="000000"/>
          <w:sz w:val="36"/>
          <w:szCs w:val="36"/>
          <w:lang w:val="en-US" w:eastAsia="zh-CN"/>
        </w:rPr>
      </w:pPr>
      <w:bookmarkStart w:id="0" w:name="_Toc2051821615"/>
      <w:r>
        <w:rPr>
          <w:rFonts w:hint="eastAsia" w:ascii="方正仿宋_GBK" w:hAnsi="方正仿宋_GBK" w:eastAsia="方正仿宋_GBK" w:cs="方正仿宋_GBK"/>
          <w:b/>
          <w:bCs/>
          <w:color w:val="000000"/>
          <w:sz w:val="36"/>
          <w:szCs w:val="36"/>
          <w:lang w:val="en-US" w:eastAsia="zh-CN"/>
        </w:rPr>
        <w:t>云勤招待所</w:t>
      </w:r>
      <w:r>
        <w:rPr>
          <w:rFonts w:hint="eastAsia" w:ascii="方正仿宋_GBK" w:hAnsi="方正仿宋_GBK" w:eastAsia="方正仿宋_GBK" w:cs="方正仿宋_GBK"/>
          <w:b/>
          <w:bCs/>
          <w:color w:val="000000"/>
          <w:sz w:val="36"/>
          <w:szCs w:val="36"/>
          <w:lang w:val="en-US" w:eastAsia="zh-CN"/>
        </w:rPr>
        <w:t>数据专线及宽带</w:t>
      </w:r>
      <w:bookmarkEnd w:id="0"/>
      <w:r>
        <w:rPr>
          <w:rFonts w:hint="eastAsia" w:ascii="方正仿宋_GBK" w:hAnsi="方正仿宋_GBK" w:eastAsia="方正仿宋_GBK" w:cs="方正仿宋_GBK"/>
          <w:b/>
          <w:bCs/>
          <w:color w:val="000000"/>
          <w:sz w:val="36"/>
          <w:szCs w:val="36"/>
          <w:lang w:val="en-US" w:eastAsia="zh-CN"/>
        </w:rPr>
        <w:t>租用技术要求</w:t>
      </w:r>
    </w:p>
    <w:p w14:paraId="3D0697F0">
      <w:pPr>
        <w:pStyle w:val="2"/>
        <w:keepNext w:val="0"/>
        <w:keepLines w:val="0"/>
        <w:pageBreakBefore w:val="0"/>
        <w:widowControl/>
        <w:kinsoku/>
        <w:wordWrap/>
        <w:overflowPunct/>
        <w:topLinePunct w:val="0"/>
        <w:autoSpaceDE/>
        <w:autoSpaceDN/>
        <w:bidi w:val="0"/>
        <w:adjustRightInd/>
        <w:snapToGrid/>
        <w:spacing w:line="50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采购期限：3年</w:t>
      </w:r>
    </w:p>
    <w:p w14:paraId="457B96C7">
      <w:pPr>
        <w:pStyle w:val="2"/>
        <w:keepNext w:val="0"/>
        <w:keepLines w:val="0"/>
        <w:pageBreakBefore w:val="0"/>
        <w:widowControl/>
        <w:kinsoku/>
        <w:wordWrap/>
        <w:overflowPunct/>
        <w:topLinePunct w:val="0"/>
        <w:autoSpaceDE/>
        <w:autoSpaceDN/>
        <w:bidi w:val="0"/>
        <w:adjustRightInd/>
        <w:snapToGrid/>
        <w:spacing w:line="50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项目限价：</w:t>
      </w:r>
      <w:r>
        <w:rPr>
          <w:rFonts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lang w:eastAsia="zh-CN"/>
        </w:rPr>
        <w:t>万元</w:t>
      </w:r>
      <w:r>
        <w:rPr>
          <w:rFonts w:hint="eastAsia" w:ascii="仿宋_GB2312" w:hAnsi="仿宋_GB2312" w:eastAsia="仿宋_GB2312" w:cs="仿宋_GB2312"/>
          <w:color w:val="000000"/>
          <w:sz w:val="28"/>
          <w:szCs w:val="28"/>
          <w:lang w:val="en-US" w:eastAsia="zh-CN"/>
        </w:rPr>
        <w:t>/3年</w:t>
      </w:r>
    </w:p>
    <w:p w14:paraId="4C1BB7BE">
      <w:pPr>
        <w:pStyle w:val="2"/>
        <w:keepNext w:val="0"/>
        <w:keepLines w:val="0"/>
        <w:pageBreakBefore w:val="0"/>
        <w:widowControl/>
        <w:kinsoku/>
        <w:wordWrap/>
        <w:overflowPunct/>
        <w:topLinePunct w:val="0"/>
        <w:autoSpaceDE/>
        <w:autoSpaceDN/>
        <w:bidi w:val="0"/>
        <w:adjustRightInd/>
        <w:snapToGrid/>
        <w:spacing w:line="500" w:lineRule="exact"/>
        <w:jc w:val="both"/>
        <w:rPr>
          <w:rFonts w:hint="eastAsia" w:ascii="Times New Roman" w:hAnsi="Times New Roman" w:eastAsia="仿宋" w:cs="仿宋"/>
          <w:sz w:val="32"/>
          <w:szCs w:val="32"/>
        </w:rPr>
      </w:pP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百兆</w:t>
      </w:r>
      <w:r>
        <w:rPr>
          <w:rFonts w:hint="eastAsia" w:ascii="仿宋_GB2312" w:hAnsi="仿宋_GB2312" w:eastAsia="仿宋_GB2312" w:cs="仿宋_GB2312"/>
          <w:color w:val="000000"/>
          <w:sz w:val="28"/>
          <w:szCs w:val="28"/>
          <w:lang w:val="en-US" w:eastAsia="zh-CN"/>
        </w:rPr>
        <w:t>内</w:t>
      </w:r>
      <w:r>
        <w:rPr>
          <w:rFonts w:hint="default" w:ascii="仿宋_GB2312" w:hAnsi="仿宋_GB2312" w:eastAsia="仿宋_GB2312" w:cs="仿宋_GB2312"/>
          <w:color w:val="000000"/>
          <w:sz w:val="28"/>
          <w:szCs w:val="28"/>
          <w:lang w:val="en-US" w:eastAsia="zh-CN"/>
        </w:rPr>
        <w:t>网专线</w:t>
      </w:r>
      <w:r>
        <w:rPr>
          <w:rFonts w:hint="eastAsia" w:ascii="仿宋_GB2312" w:hAnsi="仿宋_GB2312" w:eastAsia="仿宋_GB2312" w:cs="仿宋_GB2312"/>
          <w:color w:val="000000"/>
          <w:sz w:val="28"/>
          <w:szCs w:val="28"/>
          <w:lang w:val="en-US" w:eastAsia="zh-CN"/>
        </w:rPr>
        <w:t xml:space="preserve">：2000元/月/条  </w:t>
      </w:r>
      <w:r>
        <w:rPr>
          <w:rFonts w:hint="default" w:ascii="仿宋_GB2312" w:hAnsi="仿宋_GB2312" w:eastAsia="仿宋_GB2312" w:cs="仿宋_GB2312"/>
          <w:color w:val="000000"/>
          <w:sz w:val="28"/>
          <w:szCs w:val="28"/>
          <w:lang w:val="en-US" w:eastAsia="zh-CN"/>
        </w:rPr>
        <w:t>500兆外网专线</w:t>
      </w:r>
      <w:r>
        <w:rPr>
          <w:rFonts w:hint="eastAsia" w:ascii="仿宋_GB2312" w:hAnsi="仿宋_GB2312" w:eastAsia="仿宋_GB2312" w:cs="仿宋_GB2312"/>
          <w:color w:val="000000"/>
          <w:sz w:val="28"/>
          <w:szCs w:val="28"/>
          <w:lang w:val="en-US" w:eastAsia="zh-CN"/>
        </w:rPr>
        <w:t>：250元/月/条）</w:t>
      </w:r>
    </w:p>
    <w:p w14:paraId="1F0A11E3">
      <w:pPr>
        <w:pStyle w:val="2"/>
        <w:keepNext w:val="0"/>
        <w:keepLines w:val="0"/>
        <w:pageBreakBefore w:val="0"/>
        <w:widowControl/>
        <w:kinsoku/>
        <w:wordWrap/>
        <w:overflowPunct/>
        <w:topLinePunct w:val="0"/>
        <w:autoSpaceDE/>
        <w:autoSpaceDN/>
        <w:bidi w:val="0"/>
        <w:adjustRightInd/>
        <w:snapToGrid/>
        <w:spacing w:line="500" w:lineRule="exact"/>
        <w:jc w:val="both"/>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（1）采购内容</w:t>
      </w:r>
    </w:p>
    <w:p w14:paraId="5948BBAE">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 w:cs="仿宋"/>
          <w:sz w:val="32"/>
          <w:szCs w:val="32"/>
        </w:rPr>
      </w:pPr>
      <w:r>
        <w:rPr>
          <w:rFonts w:hint="eastAsia" w:ascii="仿宋_GB2312" w:hAnsi="仿宋_GB2312" w:eastAsia="仿宋_GB2312" w:cs="仿宋_GB2312"/>
          <w:color w:val="000000"/>
          <w:sz w:val="28"/>
          <w:szCs w:val="28"/>
          <w:lang w:val="en-US" w:eastAsia="zh-CN"/>
        </w:rPr>
        <w:t>提供1条100M带</w:t>
      </w:r>
      <w:r>
        <w:rPr>
          <w:rFonts w:hint="eastAsia" w:ascii="Times New Roman" w:hAnsi="Times New Roman" w:eastAsia="仿宋" w:cs="仿宋"/>
          <w:sz w:val="32"/>
          <w:szCs w:val="32"/>
        </w:rPr>
        <w:t>宽的数据专线服务接入</w:t>
      </w:r>
      <w:r>
        <w:rPr>
          <w:rFonts w:hint="eastAsia" w:ascii="Times New Roman" w:hAnsi="Times New Roman" w:eastAsia="仿宋" w:cs="仿宋"/>
          <w:sz w:val="32"/>
          <w:szCs w:val="32"/>
          <w:lang w:eastAsia="zh-CN"/>
        </w:rPr>
        <w:t>。</w:t>
      </w:r>
    </w:p>
    <w:p w14:paraId="6654C865">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提供2条500M带宽的企业宽带（接入互联网）用于办公。</w:t>
      </w:r>
    </w:p>
    <w:p w14:paraId="50E02D9A">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数据专线从昆明医科大学第二附属医院至云勤招待所，企业宽带需接入互联网，包含线路开通的全部施工和设备费用。</w:t>
      </w:r>
    </w:p>
    <w:p w14:paraId="43424F40">
      <w:pPr>
        <w:pStyle w:val="2"/>
        <w:keepNext w:val="0"/>
        <w:keepLines w:val="0"/>
        <w:pageBreakBefore w:val="0"/>
        <w:widowControl/>
        <w:kinsoku/>
        <w:wordWrap/>
        <w:overflowPunct/>
        <w:topLinePunct w:val="0"/>
        <w:autoSpaceDE/>
        <w:autoSpaceDN/>
        <w:bidi w:val="0"/>
        <w:adjustRightInd/>
        <w:snapToGrid/>
        <w:spacing w:line="500" w:lineRule="exact"/>
        <w:jc w:val="both"/>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（2）技术要求</w:t>
      </w:r>
    </w:p>
    <w:p w14:paraId="61E73013">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1、投标人必须保证出租的专线及电路质量符合国家相关标准和规定；招标人租用的专线电路的质量如不符合上述标准的，投标人应负责对该专线及电路予以及时修复、调换。</w:t>
      </w:r>
    </w:p>
    <w:p w14:paraId="7D2C4355">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2、投标人必须保证与招标人互联的网关路由器至投标人骨干层与其他运营商互联出口路由器的时延和丢包率符合正常的标准。</w:t>
      </w:r>
    </w:p>
    <w:p w14:paraId="26200C71">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3、企业宽带要接入中国Internet骨干网络，实现快速访问Internet线路要稳定，必须保证独享带宽。</w:t>
      </w:r>
    </w:p>
    <w:p w14:paraId="368A0891">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4、投标人必须提供及时的技术支持，每天24小时、每周7天、全年无休的系统监控及全面性技术支持，100%故障响应率，100%故障恢复率，不低于99%限时故障恢复率（限时时间为4小时）。</w:t>
      </w:r>
    </w:p>
    <w:p w14:paraId="68778162">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5、网络可用性为99.99%。网络可用性是指投标人网内端到端全网能提供无故障时间占运行时间的百分比。</w:t>
      </w:r>
    </w:p>
    <w:p w14:paraId="4BAB7D38">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6、投标人网内性能</w:t>
      </w:r>
    </w:p>
    <w:p w14:paraId="0CEFA769">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（1）从招标人出口网关处至投标人任一设备之间忙时：平均丢包率≤1%，平均延时≤80ms。</w:t>
      </w:r>
    </w:p>
    <w:p w14:paraId="60F6275B">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（2）投标人网络与投标人任一设备之间忙时：平均丢包率≤1%，平均延时≤150ms。</w:t>
      </w:r>
    </w:p>
    <w:p w14:paraId="5E50C172">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（3）投标人网络与其它运营商互联性能</w:t>
      </w:r>
    </w:p>
    <w:p w14:paraId="5B1A2820">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从招标人出口网关处至投标人连接的其它运营商对端联接点：平均丢包率≤1%，平均延时≤150ms。</w:t>
      </w:r>
    </w:p>
    <w:p w14:paraId="15823B2E">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（4）双方互联设备点对点时延要求：平均延时≤10ms。</w:t>
      </w:r>
    </w:p>
    <w:p w14:paraId="67B9CC4C">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7、网络质量要求</w:t>
      </w:r>
    </w:p>
    <w:tbl>
      <w:tblPr>
        <w:tblStyle w:val="5"/>
        <w:tblW w:w="8521" w:type="dxa"/>
        <w:tblCellSpacing w:w="0" w:type="dxa"/>
        <w:tblInd w:w="20" w:type="dxa"/>
        <w:tblLayout w:type="autofit"/>
        <w:tblCellMar>
          <w:top w:w="0" w:type="dxa"/>
          <w:left w:w="0" w:type="dxa"/>
          <w:bottom w:w="0" w:type="dxa"/>
          <w:right w:w="0" w:type="dxa"/>
        </w:tblCellMar>
      </w:tblPr>
      <w:tblGrid>
        <w:gridCol w:w="6230"/>
        <w:gridCol w:w="2291"/>
      </w:tblGrid>
      <w:tr w14:paraId="6D0D0957">
        <w:tblPrEx>
          <w:tblCellMar>
            <w:top w:w="0" w:type="dxa"/>
            <w:left w:w="0" w:type="dxa"/>
            <w:bottom w:w="0" w:type="dxa"/>
            <w:right w:w="0" w:type="dxa"/>
          </w:tblCellMar>
        </w:tblPrEx>
        <w:trPr>
          <w:trHeight w:val="0" w:hRule="atLeast"/>
          <w:tblHeader/>
          <w:tblCellSpacing w:w="0" w:type="dxa"/>
        </w:trPr>
        <w:tc>
          <w:tcPr>
            <w:tcW w:w="6250" w:type="dxa"/>
            <w:tcBorders>
              <w:top w:val="single" w:color="auto" w:sz="8" w:space="0"/>
              <w:left w:val="single" w:color="auto" w:sz="8" w:space="0"/>
              <w:bottom w:val="single" w:color="auto" w:sz="8" w:space="0"/>
              <w:right w:val="single" w:color="auto" w:sz="8" w:space="0"/>
            </w:tcBorders>
            <w:shd w:val="clear" w:color="auto" w:fill="FFFFFF"/>
            <w:tcMar>
              <w:left w:w="140" w:type="dxa"/>
              <w:right w:w="140" w:type="dxa"/>
            </w:tcMar>
            <w:vAlign w:val="center"/>
          </w:tcPr>
          <w:p w14:paraId="5DDF6C07">
            <w:pPr>
              <w:widowControl/>
              <w:snapToGrid w:val="0"/>
              <w:spacing w:line="240" w:lineRule="auto"/>
              <w:ind w:left="0" w:leftChars="0" w:right="0" w:rightChars="0" w:firstLine="0" w:firstLineChars="0"/>
              <w:jc w:val="center"/>
              <w:rPr>
                <w:rFonts w:hint="eastAsia" w:ascii="Times New Roman" w:hAnsi="Times New Roman" w:eastAsia="仿宋" w:cs="仿宋"/>
                <w:b/>
                <w:sz w:val="28"/>
                <w:szCs w:val="28"/>
              </w:rPr>
            </w:pPr>
            <w:r>
              <w:rPr>
                <w:rFonts w:hint="eastAsia" w:ascii="Times New Roman" w:hAnsi="Times New Roman" w:eastAsia="仿宋" w:cs="仿宋"/>
                <w:b/>
                <w:sz w:val="28"/>
                <w:szCs w:val="28"/>
              </w:rPr>
              <w:t>指标</w:t>
            </w:r>
          </w:p>
        </w:tc>
        <w:tc>
          <w:tcPr>
            <w:tcW w:w="2271" w:type="dxa"/>
            <w:tcBorders>
              <w:top w:val="single" w:color="auto" w:sz="8" w:space="0"/>
              <w:left w:val="nil"/>
              <w:bottom w:val="single" w:color="auto" w:sz="8" w:space="0"/>
              <w:right w:val="single" w:color="auto" w:sz="8" w:space="0"/>
            </w:tcBorders>
            <w:shd w:val="clear" w:color="auto" w:fill="FFFFFF"/>
            <w:noWrap/>
            <w:tcMar>
              <w:left w:w="140" w:type="dxa"/>
              <w:right w:w="140" w:type="dxa"/>
            </w:tcMar>
            <w:vAlign w:val="center"/>
          </w:tcPr>
          <w:p w14:paraId="3F3F440D">
            <w:pPr>
              <w:widowControl/>
              <w:snapToGrid w:val="0"/>
              <w:spacing w:line="240" w:lineRule="auto"/>
              <w:ind w:left="0" w:leftChars="0" w:right="0" w:rightChars="0" w:firstLine="0" w:firstLineChars="0"/>
              <w:jc w:val="center"/>
              <w:rPr>
                <w:rFonts w:hint="eastAsia" w:ascii="Times New Roman" w:hAnsi="Times New Roman" w:eastAsia="仿宋" w:cs="仿宋"/>
                <w:b/>
                <w:sz w:val="28"/>
                <w:szCs w:val="28"/>
                <w:lang w:val="en-US" w:eastAsia="zh-CN"/>
              </w:rPr>
            </w:pPr>
            <w:r>
              <w:rPr>
                <w:rFonts w:hint="eastAsia" w:ascii="Times New Roman" w:hAnsi="Times New Roman" w:eastAsia="仿宋" w:cs="仿宋"/>
                <w:b/>
                <w:sz w:val="28"/>
                <w:szCs w:val="28"/>
                <w:lang w:val="en-US" w:eastAsia="zh-CN"/>
              </w:rPr>
              <w:t>要求</w:t>
            </w:r>
          </w:p>
        </w:tc>
      </w:tr>
      <w:tr w14:paraId="31C04F8C">
        <w:tblPrEx>
          <w:tblCellMar>
            <w:top w:w="0" w:type="dxa"/>
            <w:left w:w="0" w:type="dxa"/>
            <w:bottom w:w="0" w:type="dxa"/>
            <w:right w:w="0" w:type="dxa"/>
          </w:tblCellMar>
        </w:tblPrEx>
        <w:trPr>
          <w:trHeight w:val="0" w:hRule="atLeast"/>
          <w:tblCellSpacing w:w="0" w:type="dxa"/>
        </w:trPr>
        <w:tc>
          <w:tcPr>
            <w:tcW w:w="6250" w:type="dxa"/>
            <w:tcBorders>
              <w:top w:val="nil"/>
              <w:left w:val="single" w:color="auto" w:sz="8" w:space="0"/>
              <w:bottom w:val="single" w:color="auto" w:sz="8" w:space="0"/>
              <w:right w:val="single" w:color="auto" w:sz="8" w:space="0"/>
            </w:tcBorders>
            <w:shd w:val="clear" w:color="auto" w:fill="FFFFFF"/>
            <w:tcMar>
              <w:left w:w="140" w:type="dxa"/>
              <w:right w:w="140" w:type="dxa"/>
            </w:tcMar>
            <w:vAlign w:val="center"/>
          </w:tcPr>
          <w:p w14:paraId="282C3AA7">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同一专线相同故障重复发生次数</w:t>
            </w:r>
          </w:p>
        </w:tc>
        <w:tc>
          <w:tcPr>
            <w:tcW w:w="2271" w:type="dxa"/>
            <w:tcBorders>
              <w:top w:val="nil"/>
              <w:left w:val="nil"/>
              <w:bottom w:val="single" w:color="auto" w:sz="8" w:space="0"/>
              <w:right w:val="single" w:color="auto" w:sz="8" w:space="0"/>
            </w:tcBorders>
            <w:shd w:val="clear" w:color="auto" w:fill="FFFFFF"/>
            <w:noWrap/>
            <w:tcMar>
              <w:left w:w="140" w:type="dxa"/>
              <w:right w:w="140" w:type="dxa"/>
            </w:tcMar>
            <w:vAlign w:val="center"/>
          </w:tcPr>
          <w:p w14:paraId="0E46BB8F">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≤3次/年</w:t>
            </w:r>
          </w:p>
        </w:tc>
      </w:tr>
      <w:tr w14:paraId="0901309B">
        <w:tblPrEx>
          <w:tblCellMar>
            <w:top w:w="0" w:type="dxa"/>
            <w:left w:w="0" w:type="dxa"/>
            <w:bottom w:w="0" w:type="dxa"/>
            <w:right w:w="0" w:type="dxa"/>
          </w:tblCellMar>
        </w:tblPrEx>
        <w:trPr>
          <w:trHeight w:val="0" w:hRule="atLeast"/>
          <w:tblCellSpacing w:w="0" w:type="dxa"/>
        </w:trPr>
        <w:tc>
          <w:tcPr>
            <w:tcW w:w="6250" w:type="dxa"/>
            <w:tcBorders>
              <w:top w:val="nil"/>
              <w:left w:val="single" w:color="auto" w:sz="8" w:space="0"/>
              <w:bottom w:val="single" w:color="auto" w:sz="8" w:space="0"/>
              <w:right w:val="single" w:color="auto" w:sz="8" w:space="0"/>
            </w:tcBorders>
            <w:shd w:val="clear" w:color="auto" w:fill="FFFFFF"/>
            <w:tcMar>
              <w:left w:w="140" w:type="dxa"/>
              <w:right w:w="140" w:type="dxa"/>
            </w:tcMar>
            <w:vAlign w:val="center"/>
          </w:tcPr>
          <w:p w14:paraId="39B886CD">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同一专线年业务中断历时</w:t>
            </w:r>
          </w:p>
        </w:tc>
        <w:tc>
          <w:tcPr>
            <w:tcW w:w="2271" w:type="dxa"/>
            <w:tcBorders>
              <w:top w:val="nil"/>
              <w:left w:val="nil"/>
              <w:bottom w:val="single" w:color="auto" w:sz="8" w:space="0"/>
              <w:right w:val="single" w:color="auto" w:sz="8" w:space="0"/>
            </w:tcBorders>
            <w:shd w:val="clear" w:color="auto" w:fill="FFFFFF"/>
            <w:noWrap/>
            <w:tcMar>
              <w:left w:w="140" w:type="dxa"/>
              <w:right w:w="140" w:type="dxa"/>
            </w:tcMar>
            <w:vAlign w:val="center"/>
          </w:tcPr>
          <w:p w14:paraId="762648BA">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≤6小时</w:t>
            </w:r>
          </w:p>
        </w:tc>
      </w:tr>
    </w:tbl>
    <w:p w14:paraId="11A49896">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8、业务可用率要求</w:t>
      </w:r>
    </w:p>
    <w:tbl>
      <w:tblPr>
        <w:tblStyle w:val="5"/>
        <w:tblW w:w="8343" w:type="dxa"/>
        <w:jc w:val="center"/>
        <w:tblCellSpacing w:w="0" w:type="dxa"/>
        <w:tblLayout w:type="autofit"/>
        <w:tblCellMar>
          <w:top w:w="0" w:type="dxa"/>
          <w:left w:w="0" w:type="dxa"/>
          <w:bottom w:w="0" w:type="dxa"/>
          <w:right w:w="0" w:type="dxa"/>
        </w:tblCellMar>
      </w:tblPr>
      <w:tblGrid>
        <w:gridCol w:w="4920"/>
        <w:gridCol w:w="3423"/>
      </w:tblGrid>
      <w:tr w14:paraId="29261D43">
        <w:trPr>
          <w:trHeight w:val="0" w:hRule="atLeast"/>
          <w:tblHeader/>
          <w:tblCellSpacing w:w="0" w:type="dxa"/>
          <w:jc w:val="center"/>
        </w:trPr>
        <w:tc>
          <w:tcPr>
            <w:tcW w:w="4920" w:type="dxa"/>
            <w:tcBorders>
              <w:top w:val="single" w:color="auto" w:sz="8" w:space="0"/>
              <w:left w:val="single" w:color="auto" w:sz="8" w:space="0"/>
              <w:bottom w:val="single" w:color="auto" w:sz="8" w:space="0"/>
              <w:right w:val="single" w:color="auto" w:sz="8" w:space="0"/>
            </w:tcBorders>
            <w:shd w:val="clear" w:color="auto" w:fill="FFFFFF"/>
            <w:tcMar>
              <w:top w:w="20" w:type="dxa"/>
              <w:left w:w="20" w:type="dxa"/>
              <w:right w:w="20" w:type="dxa"/>
            </w:tcMar>
            <w:vAlign w:val="center"/>
          </w:tcPr>
          <w:p w14:paraId="727E78B2">
            <w:pPr>
              <w:widowControl/>
              <w:snapToGrid w:val="0"/>
              <w:spacing w:line="240" w:lineRule="auto"/>
              <w:ind w:left="0" w:leftChars="0" w:right="0" w:rightChars="0" w:firstLine="0" w:firstLineChars="0"/>
              <w:jc w:val="center"/>
              <w:rPr>
                <w:rFonts w:hint="eastAsia" w:ascii="Times New Roman" w:hAnsi="Times New Roman" w:eastAsia="仿宋" w:cs="仿宋"/>
                <w:b/>
                <w:sz w:val="28"/>
                <w:szCs w:val="28"/>
              </w:rPr>
            </w:pPr>
            <w:r>
              <w:rPr>
                <w:rFonts w:hint="eastAsia" w:ascii="Times New Roman" w:hAnsi="Times New Roman" w:eastAsia="仿宋" w:cs="仿宋"/>
                <w:b/>
                <w:sz w:val="28"/>
                <w:szCs w:val="28"/>
              </w:rPr>
              <w:t>故障类别</w:t>
            </w:r>
          </w:p>
        </w:tc>
        <w:tc>
          <w:tcPr>
            <w:tcW w:w="3423" w:type="dxa"/>
            <w:tcBorders>
              <w:top w:val="single" w:color="auto" w:sz="8" w:space="0"/>
              <w:left w:val="nil"/>
              <w:bottom w:val="single" w:color="auto" w:sz="8" w:space="0"/>
              <w:right w:val="single" w:color="auto" w:sz="8" w:space="0"/>
            </w:tcBorders>
            <w:shd w:val="clear" w:color="auto" w:fill="FFFFFF"/>
            <w:vAlign w:val="center"/>
          </w:tcPr>
          <w:p w14:paraId="4F777B5E">
            <w:pPr>
              <w:widowControl/>
              <w:snapToGrid w:val="0"/>
              <w:spacing w:line="240" w:lineRule="auto"/>
              <w:ind w:left="0" w:leftChars="0" w:right="0" w:rightChars="0" w:firstLine="0" w:firstLineChars="0"/>
              <w:jc w:val="center"/>
              <w:rPr>
                <w:rFonts w:hint="eastAsia" w:ascii="Times New Roman" w:hAnsi="Times New Roman" w:eastAsia="仿宋" w:cs="仿宋"/>
                <w:b/>
                <w:sz w:val="28"/>
                <w:szCs w:val="28"/>
              </w:rPr>
            </w:pPr>
            <w:r>
              <w:rPr>
                <w:rFonts w:hint="eastAsia" w:ascii="Times New Roman" w:hAnsi="Times New Roman" w:eastAsia="仿宋" w:cs="仿宋"/>
                <w:b/>
                <w:sz w:val="28"/>
                <w:szCs w:val="28"/>
              </w:rPr>
              <w:t>业务可用率</w:t>
            </w:r>
          </w:p>
        </w:tc>
      </w:tr>
      <w:tr w14:paraId="4ADE8A32">
        <w:tblPrEx>
          <w:tblCellMar>
            <w:top w:w="0" w:type="dxa"/>
            <w:left w:w="0" w:type="dxa"/>
            <w:bottom w:w="0" w:type="dxa"/>
            <w:right w:w="0" w:type="dxa"/>
          </w:tblCellMar>
        </w:tblPrEx>
        <w:trPr>
          <w:trHeight w:val="0" w:hRule="atLeast"/>
          <w:tblCellSpacing w:w="0" w:type="dxa"/>
          <w:jc w:val="center"/>
        </w:trPr>
        <w:tc>
          <w:tcPr>
            <w:tcW w:w="4920" w:type="dxa"/>
            <w:tcBorders>
              <w:top w:val="nil"/>
              <w:left w:val="single" w:color="auto" w:sz="8" w:space="0"/>
              <w:bottom w:val="single" w:color="auto" w:sz="8" w:space="0"/>
              <w:right w:val="single" w:color="auto" w:sz="8" w:space="0"/>
            </w:tcBorders>
            <w:shd w:val="clear" w:color="auto" w:fill="FFFFFF"/>
            <w:tcMar>
              <w:top w:w="20" w:type="dxa"/>
              <w:left w:w="20" w:type="dxa"/>
              <w:right w:w="20" w:type="dxa"/>
            </w:tcMar>
            <w:vAlign w:val="center"/>
          </w:tcPr>
          <w:p w14:paraId="31D98BA7">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专网线路</w:t>
            </w:r>
            <w:r>
              <w:rPr>
                <w:rFonts w:hint="eastAsia" w:ascii="Times New Roman" w:hAnsi="Times New Roman" w:eastAsia="仿宋" w:cs="仿宋"/>
                <w:sz w:val="28"/>
                <w:szCs w:val="28"/>
                <w:lang w:val="en-US" w:eastAsia="zh-CN"/>
              </w:rPr>
              <w:t>业务</w:t>
            </w:r>
            <w:r>
              <w:rPr>
                <w:rFonts w:hint="eastAsia" w:ascii="Times New Roman" w:hAnsi="Times New Roman" w:eastAsia="仿宋" w:cs="仿宋"/>
                <w:sz w:val="28"/>
                <w:szCs w:val="28"/>
              </w:rPr>
              <w:t>可用率</w:t>
            </w:r>
          </w:p>
        </w:tc>
        <w:tc>
          <w:tcPr>
            <w:tcW w:w="3423" w:type="dxa"/>
            <w:tcBorders>
              <w:top w:val="nil"/>
              <w:left w:val="nil"/>
              <w:bottom w:val="single" w:color="auto" w:sz="8" w:space="0"/>
              <w:right w:val="single" w:color="auto" w:sz="8" w:space="0"/>
            </w:tcBorders>
            <w:shd w:val="clear" w:color="auto" w:fill="FFFFFF"/>
            <w:vAlign w:val="center"/>
          </w:tcPr>
          <w:p w14:paraId="3996022F">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99.96%</w:t>
            </w:r>
          </w:p>
        </w:tc>
      </w:tr>
    </w:tbl>
    <w:p w14:paraId="4A974E78">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9、数据专线线路质量标准</w:t>
      </w:r>
    </w:p>
    <w:tbl>
      <w:tblPr>
        <w:tblStyle w:val="5"/>
        <w:tblW w:w="8836" w:type="dxa"/>
        <w:tblCellSpacing w:w="0" w:type="dxa"/>
        <w:tblInd w:w="20" w:type="dxa"/>
        <w:tblLayout w:type="fixed"/>
        <w:tblCellMar>
          <w:top w:w="0" w:type="dxa"/>
          <w:left w:w="0" w:type="dxa"/>
          <w:bottom w:w="0" w:type="dxa"/>
          <w:right w:w="0" w:type="dxa"/>
        </w:tblCellMar>
      </w:tblPr>
      <w:tblGrid>
        <w:gridCol w:w="920"/>
        <w:gridCol w:w="1370"/>
        <w:gridCol w:w="4028"/>
        <w:gridCol w:w="2518"/>
      </w:tblGrid>
      <w:tr w14:paraId="166A3445">
        <w:tblPrEx>
          <w:tblCellMar>
            <w:top w:w="0" w:type="dxa"/>
            <w:left w:w="0" w:type="dxa"/>
            <w:bottom w:w="0" w:type="dxa"/>
            <w:right w:w="0" w:type="dxa"/>
          </w:tblCellMar>
        </w:tblPrEx>
        <w:trPr>
          <w:trHeight w:val="0" w:hRule="atLeast"/>
          <w:tblHeader/>
          <w:tblCellSpacing w:w="0" w:type="dxa"/>
        </w:trPr>
        <w:tc>
          <w:tcPr>
            <w:tcW w:w="920" w:type="dxa"/>
            <w:tcBorders>
              <w:top w:val="single" w:color="auto" w:sz="8" w:space="0"/>
              <w:left w:val="single" w:color="auto" w:sz="8" w:space="0"/>
              <w:bottom w:val="single" w:color="auto" w:sz="8" w:space="0"/>
              <w:right w:val="single" w:color="auto" w:sz="8" w:space="0"/>
            </w:tcBorders>
            <w:shd w:val="clear" w:color="auto" w:fill="FFFFFF"/>
            <w:tcMar>
              <w:left w:w="140" w:type="dxa"/>
              <w:right w:w="140" w:type="dxa"/>
            </w:tcMar>
            <w:vAlign w:val="center"/>
          </w:tcPr>
          <w:p w14:paraId="29AA2118">
            <w:pPr>
              <w:widowControl/>
              <w:snapToGrid w:val="0"/>
              <w:spacing w:line="240" w:lineRule="auto"/>
              <w:ind w:left="0" w:leftChars="0" w:right="0" w:rightChars="0" w:firstLine="0" w:firstLineChars="0"/>
              <w:jc w:val="center"/>
              <w:rPr>
                <w:rFonts w:hint="eastAsia" w:ascii="Times New Roman" w:hAnsi="Times New Roman" w:eastAsia="仿宋" w:cs="仿宋"/>
                <w:b/>
                <w:sz w:val="28"/>
                <w:szCs w:val="28"/>
              </w:rPr>
            </w:pPr>
            <w:r>
              <w:rPr>
                <w:rFonts w:hint="eastAsia" w:ascii="Times New Roman" w:hAnsi="Times New Roman" w:eastAsia="仿宋" w:cs="仿宋"/>
                <w:b/>
                <w:sz w:val="28"/>
                <w:szCs w:val="28"/>
              </w:rPr>
              <w:t>专线类别</w:t>
            </w:r>
          </w:p>
        </w:tc>
        <w:tc>
          <w:tcPr>
            <w:tcW w:w="1370" w:type="dxa"/>
            <w:tcBorders>
              <w:top w:val="single" w:color="auto" w:sz="8" w:space="0"/>
              <w:left w:val="nil"/>
              <w:bottom w:val="single" w:color="auto" w:sz="8" w:space="0"/>
              <w:right w:val="single" w:color="auto" w:sz="8" w:space="0"/>
            </w:tcBorders>
            <w:shd w:val="clear" w:color="auto" w:fill="FFFFFF"/>
            <w:noWrap/>
            <w:tcMar>
              <w:left w:w="140" w:type="dxa"/>
              <w:right w:w="140" w:type="dxa"/>
            </w:tcMar>
            <w:vAlign w:val="center"/>
          </w:tcPr>
          <w:p w14:paraId="7EC464D7">
            <w:pPr>
              <w:widowControl/>
              <w:snapToGrid w:val="0"/>
              <w:spacing w:line="240" w:lineRule="auto"/>
              <w:ind w:left="0" w:leftChars="0" w:right="0" w:rightChars="0" w:firstLine="0" w:firstLineChars="0"/>
              <w:jc w:val="center"/>
              <w:rPr>
                <w:rFonts w:hint="eastAsia" w:ascii="Times New Roman" w:hAnsi="Times New Roman" w:eastAsia="仿宋" w:cs="仿宋"/>
                <w:b/>
                <w:sz w:val="28"/>
                <w:szCs w:val="28"/>
              </w:rPr>
            </w:pPr>
            <w:r>
              <w:rPr>
                <w:rFonts w:hint="eastAsia" w:ascii="Times New Roman" w:hAnsi="Times New Roman" w:eastAsia="仿宋" w:cs="仿宋"/>
                <w:b/>
                <w:sz w:val="28"/>
                <w:szCs w:val="28"/>
              </w:rPr>
              <w:t>质量指标内容</w:t>
            </w:r>
          </w:p>
        </w:tc>
        <w:tc>
          <w:tcPr>
            <w:tcW w:w="4028" w:type="dxa"/>
            <w:tcBorders>
              <w:top w:val="single" w:color="auto" w:sz="8" w:space="0"/>
              <w:left w:val="nil"/>
              <w:bottom w:val="single" w:color="auto" w:sz="8" w:space="0"/>
              <w:right w:val="single" w:color="auto" w:sz="8" w:space="0"/>
            </w:tcBorders>
            <w:shd w:val="clear" w:color="auto" w:fill="FFFFFF"/>
            <w:tcMar>
              <w:left w:w="140" w:type="dxa"/>
              <w:right w:w="140" w:type="dxa"/>
            </w:tcMar>
            <w:vAlign w:val="center"/>
          </w:tcPr>
          <w:p w14:paraId="4F5D851D">
            <w:pPr>
              <w:widowControl/>
              <w:snapToGrid w:val="0"/>
              <w:spacing w:line="240" w:lineRule="auto"/>
              <w:ind w:left="0" w:leftChars="0" w:right="0" w:rightChars="0" w:firstLine="0" w:firstLineChars="0"/>
              <w:jc w:val="center"/>
              <w:rPr>
                <w:rFonts w:hint="eastAsia" w:ascii="Times New Roman" w:hAnsi="Times New Roman" w:eastAsia="仿宋" w:cs="仿宋"/>
                <w:b/>
                <w:sz w:val="28"/>
                <w:szCs w:val="28"/>
              </w:rPr>
            </w:pPr>
            <w:r>
              <w:rPr>
                <w:rFonts w:hint="eastAsia" w:ascii="Times New Roman" w:hAnsi="Times New Roman" w:eastAsia="仿宋" w:cs="仿宋"/>
                <w:b/>
                <w:sz w:val="28"/>
                <w:szCs w:val="28"/>
              </w:rPr>
              <w:t>指标定义</w:t>
            </w:r>
          </w:p>
        </w:tc>
        <w:tc>
          <w:tcPr>
            <w:tcW w:w="2518" w:type="dxa"/>
            <w:tcBorders>
              <w:top w:val="single" w:color="auto" w:sz="8" w:space="0"/>
              <w:left w:val="nil"/>
              <w:bottom w:val="single" w:color="auto" w:sz="8" w:space="0"/>
              <w:right w:val="single" w:color="auto" w:sz="8" w:space="0"/>
            </w:tcBorders>
            <w:shd w:val="clear" w:color="auto" w:fill="FFFFFF"/>
            <w:tcMar>
              <w:left w:w="140" w:type="dxa"/>
              <w:right w:w="140" w:type="dxa"/>
            </w:tcMar>
            <w:vAlign w:val="center"/>
          </w:tcPr>
          <w:p w14:paraId="51C890DC">
            <w:pPr>
              <w:widowControl/>
              <w:snapToGrid w:val="0"/>
              <w:spacing w:line="240" w:lineRule="auto"/>
              <w:ind w:left="0" w:leftChars="0" w:right="0" w:rightChars="0" w:firstLine="0" w:firstLineChars="0"/>
              <w:jc w:val="center"/>
              <w:rPr>
                <w:rFonts w:hint="eastAsia" w:ascii="Times New Roman" w:hAnsi="Times New Roman" w:eastAsia="仿宋" w:cs="仿宋"/>
                <w:b/>
                <w:sz w:val="28"/>
                <w:szCs w:val="28"/>
              </w:rPr>
            </w:pPr>
            <w:r>
              <w:rPr>
                <w:rFonts w:hint="eastAsia" w:ascii="Times New Roman" w:hAnsi="Times New Roman" w:eastAsia="仿宋" w:cs="仿宋"/>
                <w:b/>
                <w:sz w:val="28"/>
                <w:szCs w:val="28"/>
              </w:rPr>
              <w:t>标准</w:t>
            </w:r>
          </w:p>
        </w:tc>
      </w:tr>
      <w:tr w14:paraId="5E9CF86C">
        <w:tblPrEx>
          <w:tblCellMar>
            <w:top w:w="0" w:type="dxa"/>
            <w:left w:w="0" w:type="dxa"/>
            <w:bottom w:w="0" w:type="dxa"/>
            <w:right w:w="0" w:type="dxa"/>
          </w:tblCellMar>
        </w:tblPrEx>
        <w:trPr>
          <w:trHeight w:val="0" w:hRule="atLeast"/>
          <w:tblCellSpacing w:w="0" w:type="dxa"/>
        </w:trPr>
        <w:tc>
          <w:tcPr>
            <w:tcW w:w="920" w:type="dxa"/>
            <w:vMerge w:val="restart"/>
            <w:tcBorders>
              <w:top w:val="nil"/>
              <w:left w:val="single" w:color="auto" w:sz="8" w:space="0"/>
              <w:bottom w:val="single" w:color="auto" w:sz="8" w:space="0"/>
              <w:right w:val="single" w:color="auto" w:sz="8" w:space="0"/>
            </w:tcBorders>
            <w:shd w:val="clear" w:color="auto" w:fill="FFFFFF"/>
            <w:tcMar>
              <w:left w:w="140" w:type="dxa"/>
              <w:right w:w="140" w:type="dxa"/>
            </w:tcMar>
            <w:vAlign w:val="center"/>
          </w:tcPr>
          <w:p w14:paraId="03640792">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数据专线</w:t>
            </w:r>
          </w:p>
        </w:tc>
        <w:tc>
          <w:tcPr>
            <w:tcW w:w="1370" w:type="dxa"/>
            <w:tcBorders>
              <w:top w:val="nil"/>
              <w:left w:val="nil"/>
              <w:bottom w:val="single" w:color="auto" w:sz="8" w:space="0"/>
              <w:right w:val="single" w:color="auto" w:sz="8" w:space="0"/>
            </w:tcBorders>
            <w:shd w:val="clear" w:color="auto" w:fill="FFFFFF"/>
            <w:noWrap/>
            <w:tcMar>
              <w:left w:w="140" w:type="dxa"/>
              <w:right w:w="140" w:type="dxa"/>
            </w:tcMar>
            <w:vAlign w:val="center"/>
          </w:tcPr>
          <w:p w14:paraId="2F8330F9">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误码率</w:t>
            </w:r>
          </w:p>
        </w:tc>
        <w:tc>
          <w:tcPr>
            <w:tcW w:w="4028" w:type="dxa"/>
            <w:tcBorders>
              <w:top w:val="nil"/>
              <w:left w:val="nil"/>
              <w:bottom w:val="single" w:color="auto" w:sz="8" w:space="0"/>
              <w:right w:val="single" w:color="auto" w:sz="8" w:space="0"/>
            </w:tcBorders>
            <w:shd w:val="clear" w:color="auto" w:fill="FFFFFF"/>
            <w:noWrap/>
            <w:tcMar>
              <w:left w:w="140" w:type="dxa"/>
              <w:right w:w="140" w:type="dxa"/>
            </w:tcMar>
            <w:vAlign w:val="center"/>
          </w:tcPr>
          <w:p w14:paraId="56FA9E7E">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在一个确定的测试期间，接收出现差错的比特数与总发送的比特数之比</w:t>
            </w:r>
          </w:p>
        </w:tc>
        <w:tc>
          <w:tcPr>
            <w:tcW w:w="2518" w:type="dxa"/>
            <w:tcBorders>
              <w:top w:val="nil"/>
              <w:left w:val="nil"/>
              <w:bottom w:val="single" w:color="auto" w:sz="8" w:space="0"/>
              <w:right w:val="single" w:color="auto" w:sz="8" w:space="0"/>
            </w:tcBorders>
            <w:shd w:val="clear" w:color="auto" w:fill="FFFFFF"/>
            <w:tcMar>
              <w:left w:w="140" w:type="dxa"/>
              <w:right w:w="140" w:type="dxa"/>
            </w:tcMar>
            <w:vAlign w:val="center"/>
          </w:tcPr>
          <w:p w14:paraId="679F2009">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≤1e-9</w:t>
            </w:r>
          </w:p>
        </w:tc>
      </w:tr>
      <w:tr w14:paraId="0F8FDD27">
        <w:tblPrEx>
          <w:tblCellMar>
            <w:top w:w="0" w:type="dxa"/>
            <w:left w:w="0" w:type="dxa"/>
            <w:bottom w:w="0" w:type="dxa"/>
            <w:right w:w="0" w:type="dxa"/>
          </w:tblCellMar>
        </w:tblPrEx>
        <w:trPr>
          <w:trHeight w:val="0" w:hRule="atLeast"/>
          <w:tblCellSpacing w:w="0" w:type="dxa"/>
        </w:trPr>
        <w:tc>
          <w:tcPr>
            <w:tcW w:w="920" w:type="dxa"/>
            <w:vMerge w:val="continue"/>
            <w:tcBorders>
              <w:top w:val="nil"/>
              <w:left w:val="single" w:color="auto" w:sz="8" w:space="0"/>
              <w:bottom w:val="single" w:color="auto" w:sz="8" w:space="0"/>
              <w:right w:val="single" w:color="auto" w:sz="8" w:space="0"/>
            </w:tcBorders>
            <w:shd w:val="clear" w:color="auto" w:fill="FFFFFF"/>
            <w:tcMar>
              <w:left w:w="140" w:type="dxa"/>
              <w:right w:w="140" w:type="dxa"/>
            </w:tcMar>
            <w:vAlign w:val="center"/>
          </w:tcPr>
          <w:p w14:paraId="46F32A70">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p>
        </w:tc>
        <w:tc>
          <w:tcPr>
            <w:tcW w:w="1370" w:type="dxa"/>
            <w:tcBorders>
              <w:top w:val="nil"/>
              <w:left w:val="nil"/>
              <w:bottom w:val="single" w:color="auto" w:sz="8" w:space="0"/>
              <w:right w:val="single" w:color="auto" w:sz="8" w:space="0"/>
            </w:tcBorders>
            <w:shd w:val="clear" w:color="auto" w:fill="FFFFFF"/>
            <w:noWrap/>
            <w:tcMar>
              <w:left w:w="140" w:type="dxa"/>
              <w:right w:w="140" w:type="dxa"/>
            </w:tcMar>
            <w:vAlign w:val="center"/>
          </w:tcPr>
          <w:p w14:paraId="79AFF768">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时延</w:t>
            </w:r>
          </w:p>
        </w:tc>
        <w:tc>
          <w:tcPr>
            <w:tcW w:w="4028" w:type="dxa"/>
            <w:tcBorders>
              <w:top w:val="nil"/>
              <w:left w:val="nil"/>
              <w:bottom w:val="single" w:color="auto" w:sz="8" w:space="0"/>
              <w:right w:val="single" w:color="auto" w:sz="8" w:space="0"/>
            </w:tcBorders>
            <w:shd w:val="clear" w:color="auto" w:fill="FFFFFF"/>
            <w:noWrap/>
            <w:tcMar>
              <w:left w:w="140" w:type="dxa"/>
              <w:right w:w="140" w:type="dxa"/>
            </w:tcMar>
            <w:vAlign w:val="center"/>
          </w:tcPr>
          <w:p w14:paraId="6EB3401F">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端到端不丢包情况下的网络转发数据所用时间，包括传输时延和传输节点处理时延。</w:t>
            </w:r>
          </w:p>
        </w:tc>
        <w:tc>
          <w:tcPr>
            <w:tcW w:w="2518" w:type="dxa"/>
            <w:tcBorders>
              <w:top w:val="nil"/>
              <w:left w:val="nil"/>
              <w:bottom w:val="single" w:color="auto" w:sz="8" w:space="0"/>
              <w:right w:val="single" w:color="auto" w:sz="8" w:space="0"/>
            </w:tcBorders>
            <w:shd w:val="clear" w:color="auto" w:fill="FFFFFF"/>
            <w:tcMar>
              <w:left w:w="140" w:type="dxa"/>
              <w:right w:w="140" w:type="dxa"/>
            </w:tcMar>
            <w:vAlign w:val="center"/>
          </w:tcPr>
          <w:p w14:paraId="6DAFE277">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跨省、跨市时延：0.8ms/百公里（单向时延）；本地网内≤10ms</w:t>
            </w:r>
          </w:p>
        </w:tc>
      </w:tr>
      <w:tr w14:paraId="6B0D34F6">
        <w:tblPrEx>
          <w:tblCellMar>
            <w:top w:w="0" w:type="dxa"/>
            <w:left w:w="0" w:type="dxa"/>
            <w:bottom w:w="0" w:type="dxa"/>
            <w:right w:w="0" w:type="dxa"/>
          </w:tblCellMar>
        </w:tblPrEx>
        <w:trPr>
          <w:trHeight w:val="0" w:hRule="atLeast"/>
          <w:tblCellSpacing w:w="0" w:type="dxa"/>
        </w:trPr>
        <w:tc>
          <w:tcPr>
            <w:tcW w:w="920" w:type="dxa"/>
            <w:vMerge w:val="continue"/>
            <w:tcBorders>
              <w:top w:val="nil"/>
              <w:left w:val="single" w:color="auto" w:sz="8" w:space="0"/>
              <w:bottom w:val="single" w:color="auto" w:sz="8" w:space="0"/>
              <w:right w:val="single" w:color="auto" w:sz="8" w:space="0"/>
            </w:tcBorders>
            <w:shd w:val="clear" w:color="auto" w:fill="FFFFFF"/>
            <w:tcMar>
              <w:left w:w="140" w:type="dxa"/>
              <w:right w:w="140" w:type="dxa"/>
            </w:tcMar>
            <w:vAlign w:val="center"/>
          </w:tcPr>
          <w:p w14:paraId="1D23E6A1">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p>
        </w:tc>
        <w:tc>
          <w:tcPr>
            <w:tcW w:w="1370" w:type="dxa"/>
            <w:tcBorders>
              <w:top w:val="nil"/>
              <w:left w:val="nil"/>
              <w:bottom w:val="single" w:color="auto" w:sz="8" w:space="0"/>
              <w:right w:val="single" w:color="auto" w:sz="8" w:space="0"/>
            </w:tcBorders>
            <w:shd w:val="clear" w:color="auto" w:fill="FFFFFF"/>
            <w:noWrap/>
            <w:tcMar>
              <w:left w:w="140" w:type="dxa"/>
              <w:right w:w="140" w:type="dxa"/>
            </w:tcMar>
            <w:vAlign w:val="center"/>
          </w:tcPr>
          <w:p w14:paraId="05537094">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丢包率</w:t>
            </w:r>
          </w:p>
        </w:tc>
        <w:tc>
          <w:tcPr>
            <w:tcW w:w="4028" w:type="dxa"/>
            <w:tcBorders>
              <w:top w:val="nil"/>
              <w:left w:val="nil"/>
              <w:bottom w:val="single" w:color="auto" w:sz="8" w:space="0"/>
              <w:right w:val="single" w:color="auto" w:sz="8" w:space="0"/>
            </w:tcBorders>
            <w:shd w:val="clear" w:color="auto" w:fill="FFFFFF"/>
            <w:noWrap/>
            <w:tcMar>
              <w:left w:w="140" w:type="dxa"/>
              <w:right w:w="140" w:type="dxa"/>
            </w:tcMar>
            <w:vAlign w:val="center"/>
          </w:tcPr>
          <w:p w14:paraId="6D12992E">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在网络稳定状态下由于网络资源缺乏造成的不能转发的数据帧和总数据帧的百分比</w:t>
            </w:r>
          </w:p>
        </w:tc>
        <w:tc>
          <w:tcPr>
            <w:tcW w:w="2518" w:type="dxa"/>
            <w:tcBorders>
              <w:top w:val="nil"/>
              <w:left w:val="nil"/>
              <w:bottom w:val="single" w:color="auto" w:sz="8" w:space="0"/>
              <w:right w:val="single" w:color="auto" w:sz="8" w:space="0"/>
            </w:tcBorders>
            <w:shd w:val="clear" w:color="auto" w:fill="FFFFFF"/>
            <w:tcMar>
              <w:left w:w="140" w:type="dxa"/>
              <w:right w:w="140" w:type="dxa"/>
            </w:tcMar>
            <w:vAlign w:val="center"/>
          </w:tcPr>
          <w:p w14:paraId="7D8B7B7C">
            <w:pPr>
              <w:widowControl/>
              <w:snapToGrid w:val="0"/>
              <w:spacing w:line="240" w:lineRule="auto"/>
              <w:ind w:left="0" w:leftChars="0" w:right="0" w:rightChars="0" w:firstLine="0" w:firstLineChars="0"/>
              <w:jc w:val="center"/>
              <w:rPr>
                <w:rFonts w:hint="eastAsia" w:ascii="Times New Roman" w:hAnsi="Times New Roman" w:eastAsia="仿宋" w:cs="仿宋"/>
                <w:sz w:val="28"/>
                <w:szCs w:val="28"/>
              </w:rPr>
            </w:pPr>
            <w:r>
              <w:rPr>
                <w:rFonts w:hint="eastAsia" w:ascii="Times New Roman" w:hAnsi="Times New Roman" w:eastAsia="仿宋" w:cs="仿宋"/>
                <w:sz w:val="28"/>
                <w:szCs w:val="28"/>
              </w:rPr>
              <w:t>在正常带宽负荷下（负荷小于70％）≤0.1%（挂表测试为准）</w:t>
            </w:r>
          </w:p>
        </w:tc>
      </w:tr>
    </w:tbl>
    <w:p w14:paraId="6B5D6E29">
      <w:pPr>
        <w:rPr>
          <w:rFonts w:hint="eastAsia" w:ascii="Times New Roman" w:hAnsi="Times New Roman" w:eastAsia="仿宋" w:cs="仿宋"/>
          <w:sz w:val="32"/>
          <w:szCs w:val="32"/>
          <w:lang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776EB"/>
    <w:rsid w:val="0E8C2C83"/>
    <w:rsid w:val="22F94B6B"/>
    <w:rsid w:val="2F0177F6"/>
    <w:rsid w:val="4C6A21FE"/>
    <w:rsid w:val="4E962B5D"/>
    <w:rsid w:val="5F5307C5"/>
    <w:rsid w:val="6333071D"/>
    <w:rsid w:val="6C236F1B"/>
    <w:rsid w:val="7B7776EB"/>
    <w:rsid w:val="7BF51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864</Words>
  <Characters>935</Characters>
  <Lines>0</Lines>
  <Paragraphs>0</Paragraphs>
  <TotalTime>7</TotalTime>
  <ScaleCrop>false</ScaleCrop>
  <LinksUpToDate>false</LinksUpToDate>
  <CharactersWithSpaces>939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2026-03-02T14:52:00Z</dcterms:created>
  <dc:creator>Jinji Kikko</dc:creator>
  <cp:lastModifiedBy>吴怡</cp:lastModifiedBy>
  <dcterms:modified xsi:type="dcterms:W3CDTF">2026-03-05T04:00:15Z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3837CD77B5C1237AB533A5698A6408CD_41</vt:lpwstr>
  </property>
  <property fmtid="{D5CDD505-2E9C-101B-9397-08002B2CF9AE}" pid="4" name="KSOTemplateDocerSaveRecord">
    <vt:lpwstr>eyJoZGlkIjoiMWY3MjliM2ZjZjFkYzVmNDQwYzA5ZTZmZGNhMmYwZDgiLCJ1c2VySWQiOiIxNzcxNzk1NjcxIn0=</vt:lpwstr>
  </property>
</Properties>
</file>