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590615">
      <w:pPr>
        <w:jc w:val="center"/>
        <w:rPr>
          <w:rFonts w:hint="default"/>
          <w:b/>
          <w:sz w:val="40"/>
          <w:lang w:val="en-US" w:eastAsia="zh-CN"/>
        </w:rPr>
      </w:pPr>
      <w:r>
        <w:rPr>
          <w:rFonts w:hint="default"/>
          <w:b/>
          <w:sz w:val="40"/>
          <w:lang w:val="en-US" w:eastAsia="zh-CN"/>
        </w:rPr>
        <w:t>SAE/SUSAR汇总列表</w:t>
      </w:r>
    </w:p>
    <w:p w14:paraId="741D19BB">
      <w:pPr>
        <w:spacing w:line="360" w:lineRule="auto"/>
        <w:jc w:val="center"/>
        <w:rPr>
          <w:rFonts w:hint="eastAsia" w:ascii="宋体" w:hAnsi="宋体" w:eastAsia="宋体" w:cs="宋体"/>
          <w:b w:val="0"/>
          <w:bCs w:val="0"/>
          <w:sz w:val="24"/>
        </w:rPr>
      </w:pPr>
      <w:r>
        <w:rPr>
          <w:rFonts w:hint="eastAsia" w:ascii="宋体" w:hAnsi="宋体" w:eastAsia="宋体" w:cs="宋体"/>
          <w:b w:val="0"/>
          <w:bCs w:val="0"/>
          <w:sz w:val="24"/>
        </w:rPr>
        <w:t>（□ SAE汇总列表、 □ SUSAR汇总列表）</w:t>
      </w:r>
    </w:p>
    <w:p w14:paraId="7F1E20E0">
      <w:pPr>
        <w:spacing w:line="360" w:lineRule="auto"/>
        <w:ind w:firstLine="480" w:firstLineChars="200"/>
        <w:jc w:val="left"/>
        <w:rPr>
          <w:rFonts w:hint="default" w:ascii="宋体" w:hAnsi="宋体" w:eastAsia="宋体" w:cs="宋体"/>
          <w:b w:val="0"/>
          <w:bCs w:val="0"/>
          <w:sz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</w:rPr>
        <w:t>项目名称：</w:t>
      </w:r>
      <w:r>
        <w:rPr>
          <w:rFonts w:hint="eastAsia" w:ascii="宋体" w:hAnsi="宋体" w:eastAsia="宋体" w:cs="宋体"/>
          <w:b w:val="0"/>
          <w:bCs w:val="0"/>
          <w:sz w:val="24"/>
          <w:u w:val="single"/>
          <w:lang w:val="en-US" w:eastAsia="zh-CN"/>
        </w:rPr>
        <w:t xml:space="preserve">                              </w:t>
      </w:r>
      <w:bookmarkStart w:id="0" w:name="_GoBack"/>
      <w:bookmarkEnd w:id="0"/>
    </w:p>
    <w:p w14:paraId="41EF3431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sz w:val="24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  <w:t>项目来源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u w:val="single"/>
          <w:lang w:val="en-US" w:eastAsia="zh-CN"/>
        </w:rPr>
        <w:t xml:space="preserve">                              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b w:val="0"/>
          <w:bCs w:val="0"/>
          <w:sz w:val="24"/>
        </w:rPr>
        <w:t xml:space="preserve">    </w:t>
      </w:r>
    </w:p>
    <w:p w14:paraId="13BA41F4">
      <w:pPr>
        <w:spacing w:line="360" w:lineRule="auto"/>
        <w:ind w:firstLine="480" w:firstLineChars="200"/>
        <w:jc w:val="left"/>
        <w:rPr>
          <w:rFonts w:hint="default" w:ascii="宋体" w:hAnsi="宋体" w:eastAsia="宋体" w:cs="宋体"/>
          <w:b w:val="0"/>
          <w:bCs w:val="0"/>
          <w:sz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</w:rPr>
        <w:t>汇总时间段：</w:t>
      </w:r>
      <w:r>
        <w:rPr>
          <w:rFonts w:hint="eastAsia" w:ascii="宋体" w:hAnsi="宋体" w:eastAsia="宋体" w:cs="宋体"/>
          <w:b w:val="0"/>
          <w:bCs w:val="0"/>
          <w:sz w:val="24"/>
          <w:u w:val="single"/>
          <w:lang w:val="en-US" w:eastAsia="zh-CN"/>
        </w:rPr>
        <w:t xml:space="preserve">                            </w:t>
      </w:r>
    </w:p>
    <w:tbl>
      <w:tblPr>
        <w:tblStyle w:val="5"/>
        <w:tblW w:w="145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1088"/>
        <w:gridCol w:w="878"/>
        <w:gridCol w:w="1135"/>
        <w:gridCol w:w="505"/>
        <w:gridCol w:w="750"/>
        <w:gridCol w:w="1091"/>
        <w:gridCol w:w="720"/>
        <w:gridCol w:w="902"/>
        <w:gridCol w:w="993"/>
        <w:gridCol w:w="1275"/>
        <w:gridCol w:w="992"/>
        <w:gridCol w:w="1276"/>
        <w:gridCol w:w="923"/>
        <w:gridCol w:w="843"/>
      </w:tblGrid>
      <w:tr w14:paraId="3AC0A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0" w:type="dxa"/>
            <w:noWrap w:val="0"/>
            <w:vAlign w:val="center"/>
          </w:tcPr>
          <w:p w14:paraId="4D31C8FA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试验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编号</w:t>
            </w:r>
          </w:p>
        </w:tc>
        <w:tc>
          <w:tcPr>
            <w:tcW w:w="1088" w:type="dxa"/>
            <w:noWrap w:val="0"/>
            <w:vAlign w:val="center"/>
          </w:tcPr>
          <w:p w14:paraId="1D11F644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研究参与者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编号</w:t>
            </w:r>
          </w:p>
        </w:tc>
        <w:tc>
          <w:tcPr>
            <w:tcW w:w="878" w:type="dxa"/>
            <w:noWrap w:val="0"/>
            <w:vAlign w:val="center"/>
          </w:tcPr>
          <w:p w14:paraId="2BBF1A3B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发生</w:t>
            </w:r>
          </w:p>
          <w:p w14:paraId="7BFB6F07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国家</w:t>
            </w:r>
          </w:p>
        </w:tc>
        <w:tc>
          <w:tcPr>
            <w:tcW w:w="1135" w:type="dxa"/>
            <w:noWrap w:val="0"/>
            <w:vAlign w:val="center"/>
          </w:tcPr>
          <w:p w14:paraId="281E789D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医疗</w:t>
            </w:r>
          </w:p>
          <w:p w14:paraId="268A0471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机构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名称</w:t>
            </w:r>
          </w:p>
        </w:tc>
        <w:tc>
          <w:tcPr>
            <w:tcW w:w="505" w:type="dxa"/>
            <w:noWrap w:val="0"/>
            <w:vAlign w:val="center"/>
          </w:tcPr>
          <w:p w14:paraId="0EF17FCA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性别</w:t>
            </w:r>
          </w:p>
        </w:tc>
        <w:tc>
          <w:tcPr>
            <w:tcW w:w="750" w:type="dxa"/>
            <w:noWrap w:val="0"/>
            <w:vAlign w:val="center"/>
          </w:tcPr>
          <w:p w14:paraId="2DED718E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年龄</w:t>
            </w:r>
          </w:p>
        </w:tc>
        <w:tc>
          <w:tcPr>
            <w:tcW w:w="1091" w:type="dxa"/>
            <w:noWrap w:val="0"/>
            <w:vAlign w:val="center"/>
          </w:tcPr>
          <w:p w14:paraId="32712094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医学诊断</w:t>
            </w:r>
          </w:p>
        </w:tc>
        <w:tc>
          <w:tcPr>
            <w:tcW w:w="720" w:type="dxa"/>
            <w:noWrap w:val="0"/>
            <w:vAlign w:val="center"/>
          </w:tcPr>
          <w:p w14:paraId="05466121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报告类型</w:t>
            </w:r>
          </w:p>
        </w:tc>
        <w:tc>
          <w:tcPr>
            <w:tcW w:w="902" w:type="dxa"/>
            <w:noWrap w:val="0"/>
            <w:vAlign w:val="center"/>
          </w:tcPr>
          <w:p w14:paraId="72ECE193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开始使用时间</w:t>
            </w:r>
          </w:p>
        </w:tc>
        <w:tc>
          <w:tcPr>
            <w:tcW w:w="993" w:type="dxa"/>
            <w:noWrap w:val="0"/>
            <w:vAlign w:val="center"/>
          </w:tcPr>
          <w:p w14:paraId="3A8A1580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发生</w:t>
            </w:r>
          </w:p>
          <w:p w14:paraId="44696451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时间</w:t>
            </w:r>
          </w:p>
        </w:tc>
        <w:tc>
          <w:tcPr>
            <w:tcW w:w="1275" w:type="dxa"/>
            <w:noWrap w:val="0"/>
            <w:vAlign w:val="center"/>
          </w:tcPr>
          <w:p w14:paraId="1AB25210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怀疑药物/医疗器械</w:t>
            </w:r>
          </w:p>
        </w:tc>
        <w:tc>
          <w:tcPr>
            <w:tcW w:w="992" w:type="dxa"/>
            <w:noWrap w:val="0"/>
            <w:vAlign w:val="center"/>
          </w:tcPr>
          <w:p w14:paraId="626B1996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相关性</w:t>
            </w:r>
          </w:p>
        </w:tc>
        <w:tc>
          <w:tcPr>
            <w:tcW w:w="1276" w:type="dxa"/>
            <w:noWrap w:val="0"/>
            <w:vAlign w:val="top"/>
          </w:tcPr>
          <w:p w14:paraId="3F4F9558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采取</w:t>
            </w:r>
          </w:p>
          <w:p w14:paraId="3C083D63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措施</w:t>
            </w:r>
          </w:p>
        </w:tc>
        <w:tc>
          <w:tcPr>
            <w:tcW w:w="923" w:type="dxa"/>
            <w:noWrap w:val="0"/>
            <w:vAlign w:val="center"/>
          </w:tcPr>
          <w:p w14:paraId="17B2E5A1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转归</w:t>
            </w:r>
          </w:p>
        </w:tc>
        <w:tc>
          <w:tcPr>
            <w:tcW w:w="843" w:type="dxa"/>
            <w:noWrap w:val="0"/>
            <w:vAlign w:val="center"/>
          </w:tcPr>
          <w:p w14:paraId="76230F73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备注</w:t>
            </w:r>
          </w:p>
        </w:tc>
      </w:tr>
      <w:tr w14:paraId="4FB70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60" w:type="dxa"/>
            <w:noWrap w:val="0"/>
            <w:vAlign w:val="top"/>
          </w:tcPr>
          <w:p w14:paraId="46C35E37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088" w:type="dxa"/>
            <w:noWrap w:val="0"/>
            <w:vAlign w:val="top"/>
          </w:tcPr>
          <w:p w14:paraId="4154492A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878" w:type="dxa"/>
            <w:noWrap w:val="0"/>
            <w:vAlign w:val="top"/>
          </w:tcPr>
          <w:p w14:paraId="4D2EF948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135" w:type="dxa"/>
            <w:noWrap w:val="0"/>
            <w:vAlign w:val="top"/>
          </w:tcPr>
          <w:p w14:paraId="35AA7D1D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505" w:type="dxa"/>
            <w:noWrap w:val="0"/>
            <w:vAlign w:val="top"/>
          </w:tcPr>
          <w:p w14:paraId="6EFDA580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 w14:paraId="6E18F7B7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091" w:type="dxa"/>
            <w:noWrap w:val="0"/>
            <w:vAlign w:val="top"/>
          </w:tcPr>
          <w:p w14:paraId="468BBB92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 w14:paraId="2E881A10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02" w:type="dxa"/>
            <w:noWrap w:val="0"/>
            <w:vAlign w:val="top"/>
          </w:tcPr>
          <w:p w14:paraId="446CEF39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93" w:type="dxa"/>
            <w:noWrap w:val="0"/>
            <w:vAlign w:val="top"/>
          </w:tcPr>
          <w:p w14:paraId="72615B72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5" w:type="dxa"/>
            <w:noWrap w:val="0"/>
            <w:vAlign w:val="top"/>
          </w:tcPr>
          <w:p w14:paraId="6632C349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92" w:type="dxa"/>
            <w:noWrap w:val="0"/>
            <w:vAlign w:val="top"/>
          </w:tcPr>
          <w:p w14:paraId="06A8AA64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 w14:paraId="27BF5295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23" w:type="dxa"/>
            <w:noWrap w:val="0"/>
            <w:vAlign w:val="top"/>
          </w:tcPr>
          <w:p w14:paraId="52398496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843" w:type="dxa"/>
            <w:noWrap w:val="0"/>
            <w:vAlign w:val="top"/>
          </w:tcPr>
          <w:p w14:paraId="33E136C6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14:paraId="37644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60" w:type="dxa"/>
            <w:noWrap w:val="0"/>
            <w:vAlign w:val="top"/>
          </w:tcPr>
          <w:p w14:paraId="5DE4E602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088" w:type="dxa"/>
            <w:noWrap w:val="0"/>
            <w:vAlign w:val="top"/>
          </w:tcPr>
          <w:p w14:paraId="732F8AF8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878" w:type="dxa"/>
            <w:noWrap w:val="0"/>
            <w:vAlign w:val="top"/>
          </w:tcPr>
          <w:p w14:paraId="05D29756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135" w:type="dxa"/>
            <w:noWrap w:val="0"/>
            <w:vAlign w:val="top"/>
          </w:tcPr>
          <w:p w14:paraId="59D746BC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505" w:type="dxa"/>
            <w:noWrap w:val="0"/>
            <w:vAlign w:val="top"/>
          </w:tcPr>
          <w:p w14:paraId="17790969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 w14:paraId="3AF94EDF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091" w:type="dxa"/>
            <w:noWrap w:val="0"/>
            <w:vAlign w:val="top"/>
          </w:tcPr>
          <w:p w14:paraId="5A04AE84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 w14:paraId="0AD7B5E7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02" w:type="dxa"/>
            <w:noWrap w:val="0"/>
            <w:vAlign w:val="top"/>
          </w:tcPr>
          <w:p w14:paraId="1A25D098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93" w:type="dxa"/>
            <w:noWrap w:val="0"/>
            <w:vAlign w:val="top"/>
          </w:tcPr>
          <w:p w14:paraId="17DA5A31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5" w:type="dxa"/>
            <w:noWrap w:val="0"/>
            <w:vAlign w:val="top"/>
          </w:tcPr>
          <w:p w14:paraId="07121B07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92" w:type="dxa"/>
            <w:noWrap w:val="0"/>
            <w:vAlign w:val="top"/>
          </w:tcPr>
          <w:p w14:paraId="217D1203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 w14:paraId="6BDCF2B2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23" w:type="dxa"/>
            <w:noWrap w:val="0"/>
            <w:vAlign w:val="top"/>
          </w:tcPr>
          <w:p w14:paraId="4C993CA0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843" w:type="dxa"/>
            <w:noWrap w:val="0"/>
            <w:vAlign w:val="top"/>
          </w:tcPr>
          <w:p w14:paraId="631039F2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14:paraId="78ADF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60" w:type="dxa"/>
            <w:noWrap w:val="0"/>
            <w:vAlign w:val="top"/>
          </w:tcPr>
          <w:p w14:paraId="3FDF3604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088" w:type="dxa"/>
            <w:noWrap w:val="0"/>
            <w:vAlign w:val="top"/>
          </w:tcPr>
          <w:p w14:paraId="326D72B1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878" w:type="dxa"/>
            <w:noWrap w:val="0"/>
            <w:vAlign w:val="top"/>
          </w:tcPr>
          <w:p w14:paraId="4F53F0BF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135" w:type="dxa"/>
            <w:noWrap w:val="0"/>
            <w:vAlign w:val="top"/>
          </w:tcPr>
          <w:p w14:paraId="10DB3DF2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505" w:type="dxa"/>
            <w:noWrap w:val="0"/>
            <w:vAlign w:val="top"/>
          </w:tcPr>
          <w:p w14:paraId="2933608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 w14:paraId="169FD222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091" w:type="dxa"/>
            <w:noWrap w:val="0"/>
            <w:vAlign w:val="top"/>
          </w:tcPr>
          <w:p w14:paraId="59F26A1C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 w14:paraId="71931F4C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02" w:type="dxa"/>
            <w:noWrap w:val="0"/>
            <w:vAlign w:val="top"/>
          </w:tcPr>
          <w:p w14:paraId="1549BE10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93" w:type="dxa"/>
            <w:noWrap w:val="0"/>
            <w:vAlign w:val="top"/>
          </w:tcPr>
          <w:p w14:paraId="7CFF9995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5" w:type="dxa"/>
            <w:noWrap w:val="0"/>
            <w:vAlign w:val="top"/>
          </w:tcPr>
          <w:p w14:paraId="5C643895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92" w:type="dxa"/>
            <w:noWrap w:val="0"/>
            <w:vAlign w:val="top"/>
          </w:tcPr>
          <w:p w14:paraId="66B8641A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 w14:paraId="493B9108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23" w:type="dxa"/>
            <w:noWrap w:val="0"/>
            <w:vAlign w:val="top"/>
          </w:tcPr>
          <w:p w14:paraId="4E2C731F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843" w:type="dxa"/>
            <w:noWrap w:val="0"/>
            <w:vAlign w:val="top"/>
          </w:tcPr>
          <w:p w14:paraId="3D03B9B6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14:paraId="28BCC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60" w:type="dxa"/>
            <w:noWrap w:val="0"/>
            <w:vAlign w:val="top"/>
          </w:tcPr>
          <w:p w14:paraId="4FDFA20C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088" w:type="dxa"/>
            <w:noWrap w:val="0"/>
            <w:vAlign w:val="top"/>
          </w:tcPr>
          <w:p w14:paraId="2A1F1A32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878" w:type="dxa"/>
            <w:noWrap w:val="0"/>
            <w:vAlign w:val="top"/>
          </w:tcPr>
          <w:p w14:paraId="6644A74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135" w:type="dxa"/>
            <w:noWrap w:val="0"/>
            <w:vAlign w:val="top"/>
          </w:tcPr>
          <w:p w14:paraId="7AB3B2F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505" w:type="dxa"/>
            <w:noWrap w:val="0"/>
            <w:vAlign w:val="top"/>
          </w:tcPr>
          <w:p w14:paraId="558EE645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 w14:paraId="55BB13D1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091" w:type="dxa"/>
            <w:noWrap w:val="0"/>
            <w:vAlign w:val="top"/>
          </w:tcPr>
          <w:p w14:paraId="575E0547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 w14:paraId="4449ADC1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02" w:type="dxa"/>
            <w:noWrap w:val="0"/>
            <w:vAlign w:val="top"/>
          </w:tcPr>
          <w:p w14:paraId="63C64AA5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93" w:type="dxa"/>
            <w:noWrap w:val="0"/>
            <w:vAlign w:val="top"/>
          </w:tcPr>
          <w:p w14:paraId="5637CCB0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5" w:type="dxa"/>
            <w:noWrap w:val="0"/>
            <w:vAlign w:val="top"/>
          </w:tcPr>
          <w:p w14:paraId="37C3BB6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92" w:type="dxa"/>
            <w:noWrap w:val="0"/>
            <w:vAlign w:val="top"/>
          </w:tcPr>
          <w:p w14:paraId="0F237755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 w14:paraId="0641D009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23" w:type="dxa"/>
            <w:noWrap w:val="0"/>
            <w:vAlign w:val="top"/>
          </w:tcPr>
          <w:p w14:paraId="27F3E62F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843" w:type="dxa"/>
            <w:noWrap w:val="0"/>
            <w:vAlign w:val="top"/>
          </w:tcPr>
          <w:p w14:paraId="4B6A688D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14:paraId="41A55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60" w:type="dxa"/>
            <w:noWrap w:val="0"/>
            <w:vAlign w:val="top"/>
          </w:tcPr>
          <w:p w14:paraId="5F641849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088" w:type="dxa"/>
            <w:noWrap w:val="0"/>
            <w:vAlign w:val="top"/>
          </w:tcPr>
          <w:p w14:paraId="78D65FE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878" w:type="dxa"/>
            <w:noWrap w:val="0"/>
            <w:vAlign w:val="top"/>
          </w:tcPr>
          <w:p w14:paraId="109456C9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135" w:type="dxa"/>
            <w:noWrap w:val="0"/>
            <w:vAlign w:val="top"/>
          </w:tcPr>
          <w:p w14:paraId="1491C041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505" w:type="dxa"/>
            <w:noWrap w:val="0"/>
            <w:vAlign w:val="top"/>
          </w:tcPr>
          <w:p w14:paraId="27F40683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 w14:paraId="0D2ECDC6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091" w:type="dxa"/>
            <w:noWrap w:val="0"/>
            <w:vAlign w:val="top"/>
          </w:tcPr>
          <w:p w14:paraId="41483082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 w14:paraId="7492CF9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02" w:type="dxa"/>
            <w:noWrap w:val="0"/>
            <w:vAlign w:val="top"/>
          </w:tcPr>
          <w:p w14:paraId="029144C6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93" w:type="dxa"/>
            <w:noWrap w:val="0"/>
            <w:vAlign w:val="top"/>
          </w:tcPr>
          <w:p w14:paraId="0C9AF065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5" w:type="dxa"/>
            <w:noWrap w:val="0"/>
            <w:vAlign w:val="top"/>
          </w:tcPr>
          <w:p w14:paraId="3594834F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92" w:type="dxa"/>
            <w:noWrap w:val="0"/>
            <w:vAlign w:val="top"/>
          </w:tcPr>
          <w:p w14:paraId="76261CC0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 w14:paraId="11E4F9E0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23" w:type="dxa"/>
            <w:noWrap w:val="0"/>
            <w:vAlign w:val="top"/>
          </w:tcPr>
          <w:p w14:paraId="4FD1B38A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843" w:type="dxa"/>
            <w:noWrap w:val="0"/>
            <w:vAlign w:val="top"/>
          </w:tcPr>
          <w:p w14:paraId="404CC5B9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14:paraId="38E7A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60" w:type="dxa"/>
            <w:noWrap w:val="0"/>
            <w:vAlign w:val="top"/>
          </w:tcPr>
          <w:p w14:paraId="41D5FD4A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088" w:type="dxa"/>
            <w:noWrap w:val="0"/>
            <w:vAlign w:val="top"/>
          </w:tcPr>
          <w:p w14:paraId="683F7E05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878" w:type="dxa"/>
            <w:noWrap w:val="0"/>
            <w:vAlign w:val="top"/>
          </w:tcPr>
          <w:p w14:paraId="3262D4B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135" w:type="dxa"/>
            <w:noWrap w:val="0"/>
            <w:vAlign w:val="top"/>
          </w:tcPr>
          <w:p w14:paraId="45CB08E6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505" w:type="dxa"/>
            <w:noWrap w:val="0"/>
            <w:vAlign w:val="top"/>
          </w:tcPr>
          <w:p w14:paraId="74BB3493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 w14:paraId="6A74C0E7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091" w:type="dxa"/>
            <w:noWrap w:val="0"/>
            <w:vAlign w:val="top"/>
          </w:tcPr>
          <w:p w14:paraId="27296651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 w14:paraId="4B6D2C39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02" w:type="dxa"/>
            <w:noWrap w:val="0"/>
            <w:vAlign w:val="top"/>
          </w:tcPr>
          <w:p w14:paraId="05C450C1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93" w:type="dxa"/>
            <w:noWrap w:val="0"/>
            <w:vAlign w:val="top"/>
          </w:tcPr>
          <w:p w14:paraId="710FD4FD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5" w:type="dxa"/>
            <w:noWrap w:val="0"/>
            <w:vAlign w:val="top"/>
          </w:tcPr>
          <w:p w14:paraId="0FA75485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92" w:type="dxa"/>
            <w:noWrap w:val="0"/>
            <w:vAlign w:val="top"/>
          </w:tcPr>
          <w:p w14:paraId="15FC0DB1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 w14:paraId="3CE5C563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23" w:type="dxa"/>
            <w:noWrap w:val="0"/>
            <w:vAlign w:val="top"/>
          </w:tcPr>
          <w:p w14:paraId="226C5B24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843" w:type="dxa"/>
            <w:noWrap w:val="0"/>
            <w:vAlign w:val="top"/>
          </w:tcPr>
          <w:p w14:paraId="3CC2E36C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14:paraId="6648B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60" w:type="dxa"/>
            <w:noWrap w:val="0"/>
            <w:vAlign w:val="top"/>
          </w:tcPr>
          <w:p w14:paraId="31C486AD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088" w:type="dxa"/>
            <w:noWrap w:val="0"/>
            <w:vAlign w:val="top"/>
          </w:tcPr>
          <w:p w14:paraId="12D29603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878" w:type="dxa"/>
            <w:noWrap w:val="0"/>
            <w:vAlign w:val="top"/>
          </w:tcPr>
          <w:p w14:paraId="47522F35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135" w:type="dxa"/>
            <w:noWrap w:val="0"/>
            <w:vAlign w:val="top"/>
          </w:tcPr>
          <w:p w14:paraId="3A98E987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505" w:type="dxa"/>
            <w:noWrap w:val="0"/>
            <w:vAlign w:val="top"/>
          </w:tcPr>
          <w:p w14:paraId="47813D18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 w14:paraId="0C51500F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091" w:type="dxa"/>
            <w:noWrap w:val="0"/>
            <w:vAlign w:val="top"/>
          </w:tcPr>
          <w:p w14:paraId="1AF867C1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 w14:paraId="16014064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02" w:type="dxa"/>
            <w:noWrap w:val="0"/>
            <w:vAlign w:val="top"/>
          </w:tcPr>
          <w:p w14:paraId="284F3B0E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93" w:type="dxa"/>
            <w:noWrap w:val="0"/>
            <w:vAlign w:val="top"/>
          </w:tcPr>
          <w:p w14:paraId="4FEFB06A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5" w:type="dxa"/>
            <w:noWrap w:val="0"/>
            <w:vAlign w:val="top"/>
          </w:tcPr>
          <w:p w14:paraId="62320C2F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92" w:type="dxa"/>
            <w:noWrap w:val="0"/>
            <w:vAlign w:val="top"/>
          </w:tcPr>
          <w:p w14:paraId="5A6F2B7C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 w14:paraId="1771A0E9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23" w:type="dxa"/>
            <w:noWrap w:val="0"/>
            <w:vAlign w:val="top"/>
          </w:tcPr>
          <w:p w14:paraId="01FF2AF8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843" w:type="dxa"/>
            <w:noWrap w:val="0"/>
            <w:vAlign w:val="top"/>
          </w:tcPr>
          <w:p w14:paraId="2C9E7D27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14:paraId="51ABD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60" w:type="dxa"/>
            <w:noWrap w:val="0"/>
            <w:vAlign w:val="top"/>
          </w:tcPr>
          <w:p w14:paraId="372BB506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088" w:type="dxa"/>
            <w:noWrap w:val="0"/>
            <w:vAlign w:val="top"/>
          </w:tcPr>
          <w:p w14:paraId="0E5546B7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878" w:type="dxa"/>
            <w:noWrap w:val="0"/>
            <w:vAlign w:val="top"/>
          </w:tcPr>
          <w:p w14:paraId="2003EC92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135" w:type="dxa"/>
            <w:noWrap w:val="0"/>
            <w:vAlign w:val="top"/>
          </w:tcPr>
          <w:p w14:paraId="287418CD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505" w:type="dxa"/>
            <w:noWrap w:val="0"/>
            <w:vAlign w:val="top"/>
          </w:tcPr>
          <w:p w14:paraId="2F19631E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 w14:paraId="05DDFC45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091" w:type="dxa"/>
            <w:noWrap w:val="0"/>
            <w:vAlign w:val="top"/>
          </w:tcPr>
          <w:p w14:paraId="1FFE9227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 w14:paraId="39ACA5C0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02" w:type="dxa"/>
            <w:noWrap w:val="0"/>
            <w:vAlign w:val="top"/>
          </w:tcPr>
          <w:p w14:paraId="4EC11D1F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93" w:type="dxa"/>
            <w:noWrap w:val="0"/>
            <w:vAlign w:val="top"/>
          </w:tcPr>
          <w:p w14:paraId="017913F2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5" w:type="dxa"/>
            <w:noWrap w:val="0"/>
            <w:vAlign w:val="top"/>
          </w:tcPr>
          <w:p w14:paraId="66E60B42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92" w:type="dxa"/>
            <w:noWrap w:val="0"/>
            <w:vAlign w:val="top"/>
          </w:tcPr>
          <w:p w14:paraId="76D21587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 w14:paraId="0BCAD7BF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23" w:type="dxa"/>
            <w:noWrap w:val="0"/>
            <w:vAlign w:val="top"/>
          </w:tcPr>
          <w:p w14:paraId="4E921823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843" w:type="dxa"/>
            <w:noWrap w:val="0"/>
            <w:vAlign w:val="top"/>
          </w:tcPr>
          <w:p w14:paraId="5EA43F55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14:paraId="4EA27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60" w:type="dxa"/>
            <w:noWrap w:val="0"/>
            <w:vAlign w:val="top"/>
          </w:tcPr>
          <w:p w14:paraId="34AA327D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088" w:type="dxa"/>
            <w:noWrap w:val="0"/>
            <w:vAlign w:val="top"/>
          </w:tcPr>
          <w:p w14:paraId="3ED6C957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878" w:type="dxa"/>
            <w:noWrap w:val="0"/>
            <w:vAlign w:val="top"/>
          </w:tcPr>
          <w:p w14:paraId="712138E5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135" w:type="dxa"/>
            <w:noWrap w:val="0"/>
            <w:vAlign w:val="top"/>
          </w:tcPr>
          <w:p w14:paraId="6DFDB85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505" w:type="dxa"/>
            <w:noWrap w:val="0"/>
            <w:vAlign w:val="top"/>
          </w:tcPr>
          <w:p w14:paraId="6B5B6901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 w14:paraId="6F792989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091" w:type="dxa"/>
            <w:noWrap w:val="0"/>
            <w:vAlign w:val="top"/>
          </w:tcPr>
          <w:p w14:paraId="06EDF020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 w14:paraId="7E0D2D17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02" w:type="dxa"/>
            <w:noWrap w:val="0"/>
            <w:vAlign w:val="top"/>
          </w:tcPr>
          <w:p w14:paraId="60FDBB44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93" w:type="dxa"/>
            <w:noWrap w:val="0"/>
            <w:vAlign w:val="top"/>
          </w:tcPr>
          <w:p w14:paraId="62FCEFEE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5" w:type="dxa"/>
            <w:noWrap w:val="0"/>
            <w:vAlign w:val="top"/>
          </w:tcPr>
          <w:p w14:paraId="33D97965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92" w:type="dxa"/>
            <w:noWrap w:val="0"/>
            <w:vAlign w:val="top"/>
          </w:tcPr>
          <w:p w14:paraId="20084FA6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 w14:paraId="3103D65E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23" w:type="dxa"/>
            <w:noWrap w:val="0"/>
            <w:vAlign w:val="top"/>
          </w:tcPr>
          <w:p w14:paraId="78B83659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843" w:type="dxa"/>
            <w:noWrap w:val="0"/>
            <w:vAlign w:val="top"/>
          </w:tcPr>
          <w:p w14:paraId="5799DD1F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14:paraId="76C42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60" w:type="dxa"/>
            <w:noWrap w:val="0"/>
            <w:vAlign w:val="top"/>
          </w:tcPr>
          <w:p w14:paraId="36FC0BEE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088" w:type="dxa"/>
            <w:noWrap w:val="0"/>
            <w:vAlign w:val="top"/>
          </w:tcPr>
          <w:p w14:paraId="5A9C636A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878" w:type="dxa"/>
            <w:noWrap w:val="0"/>
            <w:vAlign w:val="top"/>
          </w:tcPr>
          <w:p w14:paraId="473664E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135" w:type="dxa"/>
            <w:noWrap w:val="0"/>
            <w:vAlign w:val="top"/>
          </w:tcPr>
          <w:p w14:paraId="322AE38C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505" w:type="dxa"/>
            <w:noWrap w:val="0"/>
            <w:vAlign w:val="top"/>
          </w:tcPr>
          <w:p w14:paraId="6CB37E47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 w14:paraId="24E98166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091" w:type="dxa"/>
            <w:noWrap w:val="0"/>
            <w:vAlign w:val="top"/>
          </w:tcPr>
          <w:p w14:paraId="31536D3F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 w14:paraId="58074C98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02" w:type="dxa"/>
            <w:noWrap w:val="0"/>
            <w:vAlign w:val="top"/>
          </w:tcPr>
          <w:p w14:paraId="73DA4EB1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93" w:type="dxa"/>
            <w:noWrap w:val="0"/>
            <w:vAlign w:val="top"/>
          </w:tcPr>
          <w:p w14:paraId="38FDA453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5" w:type="dxa"/>
            <w:noWrap w:val="0"/>
            <w:vAlign w:val="top"/>
          </w:tcPr>
          <w:p w14:paraId="1AACB836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92" w:type="dxa"/>
            <w:noWrap w:val="0"/>
            <w:vAlign w:val="top"/>
          </w:tcPr>
          <w:p w14:paraId="26E1A85E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 w14:paraId="23168734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23" w:type="dxa"/>
            <w:noWrap w:val="0"/>
            <w:vAlign w:val="top"/>
          </w:tcPr>
          <w:p w14:paraId="120B9E0E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843" w:type="dxa"/>
            <w:noWrap w:val="0"/>
            <w:vAlign w:val="top"/>
          </w:tcPr>
          <w:p w14:paraId="6FCE88AC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14:paraId="4DD69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60" w:type="dxa"/>
            <w:noWrap w:val="0"/>
            <w:vAlign w:val="top"/>
          </w:tcPr>
          <w:p w14:paraId="3D264F1D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088" w:type="dxa"/>
            <w:noWrap w:val="0"/>
            <w:vAlign w:val="top"/>
          </w:tcPr>
          <w:p w14:paraId="362E4C97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878" w:type="dxa"/>
            <w:noWrap w:val="0"/>
            <w:vAlign w:val="top"/>
          </w:tcPr>
          <w:p w14:paraId="24673F03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135" w:type="dxa"/>
            <w:noWrap w:val="0"/>
            <w:vAlign w:val="top"/>
          </w:tcPr>
          <w:p w14:paraId="195BA46D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505" w:type="dxa"/>
            <w:noWrap w:val="0"/>
            <w:vAlign w:val="top"/>
          </w:tcPr>
          <w:p w14:paraId="26C523EF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 w14:paraId="47B4EDEF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091" w:type="dxa"/>
            <w:noWrap w:val="0"/>
            <w:vAlign w:val="top"/>
          </w:tcPr>
          <w:p w14:paraId="7F2E425F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 w14:paraId="3FBC046A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02" w:type="dxa"/>
            <w:noWrap w:val="0"/>
            <w:vAlign w:val="top"/>
          </w:tcPr>
          <w:p w14:paraId="133DBEA5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93" w:type="dxa"/>
            <w:noWrap w:val="0"/>
            <w:vAlign w:val="top"/>
          </w:tcPr>
          <w:p w14:paraId="4C6BD59A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5" w:type="dxa"/>
            <w:noWrap w:val="0"/>
            <w:vAlign w:val="top"/>
          </w:tcPr>
          <w:p w14:paraId="2ED87CA9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92" w:type="dxa"/>
            <w:noWrap w:val="0"/>
            <w:vAlign w:val="top"/>
          </w:tcPr>
          <w:p w14:paraId="3616454F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 w14:paraId="4AC702D1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23" w:type="dxa"/>
            <w:noWrap w:val="0"/>
            <w:vAlign w:val="top"/>
          </w:tcPr>
          <w:p w14:paraId="5BED1659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843" w:type="dxa"/>
            <w:noWrap w:val="0"/>
            <w:vAlign w:val="top"/>
          </w:tcPr>
          <w:p w14:paraId="1F3E4301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14:paraId="6592F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60" w:type="dxa"/>
            <w:noWrap w:val="0"/>
            <w:vAlign w:val="top"/>
          </w:tcPr>
          <w:p w14:paraId="632F5D07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088" w:type="dxa"/>
            <w:noWrap w:val="0"/>
            <w:vAlign w:val="top"/>
          </w:tcPr>
          <w:p w14:paraId="38071627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878" w:type="dxa"/>
            <w:noWrap w:val="0"/>
            <w:vAlign w:val="top"/>
          </w:tcPr>
          <w:p w14:paraId="36B9FC49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135" w:type="dxa"/>
            <w:noWrap w:val="0"/>
            <w:vAlign w:val="top"/>
          </w:tcPr>
          <w:p w14:paraId="26C34454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505" w:type="dxa"/>
            <w:noWrap w:val="0"/>
            <w:vAlign w:val="top"/>
          </w:tcPr>
          <w:p w14:paraId="002BE4AC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 w14:paraId="2356ED0A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091" w:type="dxa"/>
            <w:noWrap w:val="0"/>
            <w:vAlign w:val="top"/>
          </w:tcPr>
          <w:p w14:paraId="582733F6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 w14:paraId="5F8AC9CC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02" w:type="dxa"/>
            <w:noWrap w:val="0"/>
            <w:vAlign w:val="top"/>
          </w:tcPr>
          <w:p w14:paraId="4C1D55A0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93" w:type="dxa"/>
            <w:noWrap w:val="0"/>
            <w:vAlign w:val="top"/>
          </w:tcPr>
          <w:p w14:paraId="50AF6199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5" w:type="dxa"/>
            <w:noWrap w:val="0"/>
            <w:vAlign w:val="top"/>
          </w:tcPr>
          <w:p w14:paraId="49EDF990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92" w:type="dxa"/>
            <w:noWrap w:val="0"/>
            <w:vAlign w:val="top"/>
          </w:tcPr>
          <w:p w14:paraId="1D66C25E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 w14:paraId="62F36F86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23" w:type="dxa"/>
            <w:noWrap w:val="0"/>
            <w:vAlign w:val="top"/>
          </w:tcPr>
          <w:p w14:paraId="7ADFC0DC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843" w:type="dxa"/>
            <w:noWrap w:val="0"/>
            <w:vAlign w:val="top"/>
          </w:tcPr>
          <w:p w14:paraId="1959BC8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</w:tbl>
    <w:p w14:paraId="72EEDF50">
      <w:pPr>
        <w:jc w:val="left"/>
      </w:pPr>
      <w:r>
        <w:rPr>
          <w:rFonts w:hint="eastAsia" w:ascii="宋体" w:hAnsi="宋体" w:eastAsia="宋体" w:cs="宋体"/>
          <w:sz w:val="18"/>
          <w:szCs w:val="18"/>
        </w:rPr>
        <w:t>注：报告类型填写首次、随访、总结</w:t>
      </w: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BEC8D0">
    <w:pPr>
      <w:pStyle w:val="3"/>
      <w:jc w:val="left"/>
    </w:pPr>
    <w:r>
      <w:rPr>
        <w:color w:val="000000" w:themeColor="text1"/>
        <w:sz w:val="18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56FD4F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56FD4F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color w:val="000000" w:themeColor="text1"/>
        <w:lang w:val="en-US" w:eastAsia="zh-CN"/>
        <w14:textFill>
          <w14:solidFill>
            <w14:schemeClr w14:val="tx1"/>
          </w14:solidFill>
        </w14:textFill>
      </w:rPr>
      <w:t>SAE/SUSAR汇总列表</w:t>
    </w:r>
    <w:sdt>
      <w:sdtPr>
        <w:rPr>
          <w:color w:val="000000" w:themeColor="text1"/>
          <w14:textFill>
            <w14:solidFill>
              <w14:schemeClr w14:val="tx1"/>
            </w14:solidFill>
          </w14:textFill>
        </w:rPr>
        <w:id w:val="658513707"/>
        <w:docPartObj>
          <w:docPartGallery w:val="autotext"/>
        </w:docPartObj>
      </w:sdtPr>
      <w:sdtEndPr>
        <w:rPr>
          <w:color w:val="000000" w:themeColor="text1"/>
          <w14:textFill>
            <w14:solidFill>
              <w14:schemeClr w14:val="tx1"/>
            </w14:solidFill>
          </w14:textFill>
        </w:rPr>
      </w:sdtEndPr>
      <w:sdtContent>
        <w:sdt>
          <w:sdtP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id w:val="171357217"/>
            <w:docPartObj>
              <w:docPartGallery w:val="autotext"/>
            </w:docPartObj>
          </w:sdtPr>
          <w:sdtEndP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</w:sdtEndPr>
          <w:sdtContent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sdtContent>
        </w:sdt>
      </w:sdtContent>
    </w:sdt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2F7C8A">
    <w:pPr>
      <w:pStyle w:val="4"/>
      <w:ind w:firstLine="210" w:firstLineChars="100"/>
      <w:jc w:val="both"/>
    </w:pPr>
    <w:r>
      <w:rPr>
        <w:rFonts w:hint="eastAsia"/>
        <w:sz w:val="21"/>
        <w:szCs w:val="21"/>
        <w:lang w:val="en-US" w:eastAsia="zh-CN"/>
      </w:rPr>
      <w:t xml:space="preserve">昆明医科大学第二附属医院伦理委员会 </w:t>
    </w:r>
    <w:r>
      <w:rPr>
        <w:rFonts w:hint="eastAsia"/>
        <w:lang w:val="en-US" w:eastAsia="zh-CN"/>
      </w:rPr>
      <w:t xml:space="preserve">                        </w:t>
    </w:r>
    <w:r>
      <w:rPr>
        <w:rFonts w:hint="eastAsia"/>
        <w:sz w:val="21"/>
        <w:szCs w:val="21"/>
      </w:rPr>
      <w:t>伦理</w:t>
    </w:r>
    <w:r>
      <w:rPr>
        <w:rFonts w:hint="eastAsia"/>
        <w:sz w:val="21"/>
        <w:szCs w:val="21"/>
        <w:lang w:val="en-US" w:eastAsia="zh-CN"/>
      </w:rPr>
      <w:t>审查</w:t>
    </w:r>
    <w:r>
      <w:rPr>
        <w:rFonts w:hint="eastAsia"/>
        <w:sz w:val="21"/>
        <w:szCs w:val="21"/>
      </w:rPr>
      <w:t>申请/报告的管理</w:t>
    </w:r>
    <w:r>
      <w:rPr>
        <w:rFonts w:hint="eastAsia"/>
      </w:rPr>
      <w:t xml:space="preserve">                      </w:t>
    </w:r>
    <w:r>
      <w:rPr>
        <w:rFonts w:hint="eastAsia"/>
        <w:lang w:val="en-US" w:eastAsia="zh-CN"/>
      </w:rPr>
      <w:t xml:space="preserve">                       </w:t>
    </w:r>
    <w:r>
      <w:rPr>
        <w:rFonts w:hint="eastAsia"/>
        <w:sz w:val="21"/>
        <w:szCs w:val="21"/>
      </w:rPr>
      <w:t>FEY-BG-</w:t>
    </w:r>
    <w:r>
      <w:rPr>
        <w:rFonts w:hint="eastAsia"/>
        <w:sz w:val="21"/>
        <w:szCs w:val="21"/>
        <w:lang w:val="en-US" w:eastAsia="zh-CN"/>
      </w:rPr>
      <w:t>53</w:t>
    </w:r>
    <w:r>
      <w:rPr>
        <w:rFonts w:hint="eastAsia"/>
        <w:sz w:val="21"/>
        <w:szCs w:val="21"/>
      </w:rPr>
      <w:t>-</w:t>
    </w:r>
    <w:r>
      <w:rPr>
        <w:rFonts w:hint="eastAsia"/>
        <w:sz w:val="21"/>
        <w:szCs w:val="21"/>
        <w:lang w:val="en-US" w:eastAsia="zh-CN"/>
      </w:rPr>
      <w:t>1</w:t>
    </w:r>
    <w:r>
      <w:rPr>
        <w:rFonts w:hint="eastAsia"/>
        <w:sz w:val="21"/>
        <w:szCs w:val="21"/>
      </w:rPr>
      <w:t>.0</w:t>
    </w:r>
    <w:r>
      <w:rPr>
        <w:rFonts w:hint="eastAsia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lNjY1NDdlYjAzMmM5NTA3MTlhMDY3NWYxOGQ1OTgifQ=="/>
  </w:docVars>
  <w:rsids>
    <w:rsidRoot w:val="0030050B"/>
    <w:rsid w:val="002436F1"/>
    <w:rsid w:val="0030050B"/>
    <w:rsid w:val="00366075"/>
    <w:rsid w:val="004A32CC"/>
    <w:rsid w:val="00524D44"/>
    <w:rsid w:val="00732067"/>
    <w:rsid w:val="008D411C"/>
    <w:rsid w:val="00C14AC1"/>
    <w:rsid w:val="00C91F6F"/>
    <w:rsid w:val="00E34FC1"/>
    <w:rsid w:val="00E60C69"/>
    <w:rsid w:val="05121E5F"/>
    <w:rsid w:val="05DC2FF3"/>
    <w:rsid w:val="07A802B4"/>
    <w:rsid w:val="10B93255"/>
    <w:rsid w:val="24FF49B5"/>
    <w:rsid w:val="25E27402"/>
    <w:rsid w:val="28F16CE5"/>
    <w:rsid w:val="2B575746"/>
    <w:rsid w:val="2CE553BA"/>
    <w:rsid w:val="31661055"/>
    <w:rsid w:val="371F26F3"/>
    <w:rsid w:val="3A043AE0"/>
    <w:rsid w:val="3D1F309F"/>
    <w:rsid w:val="43FE3B3E"/>
    <w:rsid w:val="45844A81"/>
    <w:rsid w:val="467531F5"/>
    <w:rsid w:val="495913D8"/>
    <w:rsid w:val="4D547F69"/>
    <w:rsid w:val="516C7467"/>
    <w:rsid w:val="51F51A37"/>
    <w:rsid w:val="64E67977"/>
    <w:rsid w:val="6D4573FA"/>
    <w:rsid w:val="6DC95E3D"/>
    <w:rsid w:val="72B35214"/>
    <w:rsid w:val="7F8A73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