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仿宋" w:hAnsi="仿宋" w:eastAsia="仿宋" w:cs="仿宋"/>
          <w:b/>
          <w:bCs/>
          <w:kern w:val="0"/>
          <w:sz w:val="22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0"/>
          <w:sz w:val="22"/>
          <w:lang w:val="en-US" w:eastAsia="zh-CN" w:bidi="ar"/>
        </w:rPr>
        <w:t>血气分析仪技术参数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*1、测量参数:PH、PCO2、PO2、K、Na、Cl、Ca、Lac(乳酸)、Glu(葡萄糖)、ctHb(总血红蛋白)、s02、FO2Hb(氧合血红蛋白)、FCOHb(碳氧血红蛋白)、FmetHb(高铁血红蛋白)、FHHb(还原血红蛋白)、FHbF(胎儿血红蛋白)、Bil(胆红素)共计17个参数。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2、计算参数:总计算参数 46 项:“Base(Ecf)、HCO3-(P,st)、AG(K+)、Ca2+(7.4)、R1、t02、t02(a-v)、PO2(A)、PO2(A-a)、PO2(a/A)、PH(T)、PO2(T)、PO2(A，T）、PO2(a/A,T)、PO2(A-a,T)、PCO2(T)、RI(T)、p(50)、Fshunt、VO2、Qt”等。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*3、测试卡类型:含最低100人份，可根据科室需要自由选择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*4、试剂卡/包上机有效期:≥30天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*5、质控耗材:试剂包内含标准质控液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6、质控方式:每天三个水平的自动质控，质控不消耗测试数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7、样本管理:仪器带样本自动混匀器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8、定标类型:自动2点液体定标，用户可自行设定定标时间间隔和频率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9、样本量:65ul,用血量低，可减少病人痛苦，特别是小儿。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10、检测速度:检测速度快，约35 秒出结果。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11、进样方式:注射器、毛细管、血气采血针自动吸入进样。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*12、用户界面:彩色大触摸屏，原厂中文语言菜单，友好人机对话，windowsXP 操作系统，操作视频教程，简便实用。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13、存储及联网:可存储超过 5000个资料，包括 500 个测试结果,500个质量控制结果等，DVD-ROM可下载数据。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14、报告解读：配置血气报告AI解读软件，实现血气报告智能解读、参数线性趋势、报告打印三大功能。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*15、具备与医院HIS系统联网血气分析报告、打印、参数线性趋势功能。</w:t>
      </w:r>
    </w:p>
    <w:p>
      <w:pPr>
        <w:tabs>
          <w:tab w:val="left" w:pos="1134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</w:pPr>
    </w:p>
    <w:p>
      <w:pPr>
        <w:pStyle w:val="2"/>
        <w:ind w:firstLine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技术评分按满分50分算，评分标准重要参数（*）不响应一条</w:t>
      </w:r>
      <w:r>
        <w:rPr>
          <w:rFonts w:hint="eastAsia" w:ascii="仿宋" w:hAnsi="仿宋" w:eastAsia="仿宋" w:cs="仿宋"/>
          <w:u w:val="single"/>
          <w:lang w:val="en-US" w:eastAsia="zh-CN"/>
        </w:rPr>
        <w:t>扣 4 分</w:t>
      </w:r>
      <w:r>
        <w:rPr>
          <w:rFonts w:hint="eastAsia" w:ascii="仿宋" w:hAnsi="仿宋" w:eastAsia="仿宋" w:cs="仿宋"/>
          <w:lang w:val="en-US" w:eastAsia="zh-CN"/>
        </w:rPr>
        <w:t>，一般参数不响应一条</w:t>
      </w:r>
      <w:r>
        <w:rPr>
          <w:rFonts w:hint="eastAsia" w:ascii="仿宋" w:hAnsi="仿宋" w:eastAsia="仿宋" w:cs="仿宋"/>
          <w:u w:val="single"/>
          <w:lang w:val="en-US" w:eastAsia="zh-CN"/>
        </w:rPr>
        <w:t>扣 2.9 分</w:t>
      </w:r>
      <w:r>
        <w:rPr>
          <w:rFonts w:hint="eastAsia" w:ascii="仿宋" w:hAnsi="仿宋" w:eastAsia="仿宋" w:cs="仿宋"/>
          <w:lang w:val="en-US" w:eastAsia="zh-CN"/>
        </w:rPr>
        <w:t>。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4F6F38"/>
    <w:rsid w:val="3D226192"/>
    <w:rsid w:val="414F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adjustRightInd w:val="0"/>
      <w:spacing w:line="360" w:lineRule="auto"/>
      <w:ind w:firstLine="490"/>
      <w:jc w:val="left"/>
    </w:pPr>
    <w:rPr>
      <w:rFonts w:ascii="Century Gothic" w:hAnsi="Century Gothic" w:eastAsia="Century Gothic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2025-03-14T03:10:00Z</dcterms:created>
  <dc:creator>Administrator</dc:creator>
  <cp:lastModifiedBy>Administrator</cp:lastModifiedBy>
  <dcterms:modified xsi:type="dcterms:W3CDTF">2025-03-24T02:32:05Z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E1DC90B4FAA740C5A2F471C4A46AB49E</vt:lpwstr>
  </property>
</Properties>
</file>