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9296"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2454"/>
        <w:gridCol w:w="6842"/>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04" w:hRule="exact"/>
          <w:tblHeader/>
          <w:jc w:val="center"/>
        </w:trPr>
        <w:tc>
          <w:tcPr>
            <w:tcW w:w="2454" w:type="dxa"/>
            <w:vAlign w:val="bottom"/>
          </w:tcPr>
          <w:p>
            <w:pPr>
              <w:jc w:val="center"/>
              <w:rPr>
                <w:rFonts w:ascii="方正仿宋_GBK" w:hAnsi="宋体" w:eastAsia="方正仿宋_GBK"/>
                <w:b/>
                <w:szCs w:val="21"/>
              </w:rPr>
            </w:pPr>
            <w:r>
              <w:rPr>
                <w:rFonts w:hint="eastAsia" w:ascii="楷体" w:hAnsi="楷体" w:eastAsia="楷体" w:cs="楷体"/>
                <w:b/>
                <w:szCs w:val="21"/>
              </w:rPr>
              <w:t>评</w:t>
            </w:r>
            <w:r>
              <w:rPr>
                <w:rFonts w:hint="eastAsia" w:ascii="楷体" w:hAnsi="楷体" w:eastAsia="楷体" w:cs="楷体"/>
                <w:b/>
                <w:szCs w:val="21"/>
                <w:lang w:val="en-US" w:eastAsia="zh-CN"/>
              </w:rPr>
              <w:t xml:space="preserve"> </w:t>
            </w:r>
            <w:r>
              <w:rPr>
                <w:rFonts w:hint="eastAsia" w:ascii="楷体" w:hAnsi="楷体" w:eastAsia="楷体" w:cs="楷体"/>
                <w:b/>
                <w:szCs w:val="21"/>
              </w:rPr>
              <w:t>审</w:t>
            </w:r>
            <w:r>
              <w:rPr>
                <w:rFonts w:hint="eastAsia" w:ascii="楷体" w:hAnsi="楷体" w:eastAsia="楷体" w:cs="楷体"/>
                <w:b/>
                <w:szCs w:val="21"/>
                <w:lang w:val="en-US" w:eastAsia="zh-CN"/>
              </w:rPr>
              <w:t xml:space="preserve"> </w:t>
            </w:r>
            <w:r>
              <w:rPr>
                <w:rFonts w:hint="eastAsia" w:ascii="楷体" w:hAnsi="楷体" w:eastAsia="楷体" w:cs="楷体"/>
                <w:b/>
                <w:szCs w:val="21"/>
              </w:rPr>
              <w:t>因</w:t>
            </w:r>
            <w:r>
              <w:rPr>
                <w:rFonts w:hint="eastAsia" w:ascii="楷体" w:hAnsi="楷体" w:eastAsia="楷体" w:cs="楷体"/>
                <w:b/>
                <w:szCs w:val="21"/>
                <w:lang w:val="en-US" w:eastAsia="zh-CN"/>
              </w:rPr>
              <w:t xml:space="preserve"> </w:t>
            </w:r>
            <w:r>
              <w:rPr>
                <w:rFonts w:hint="eastAsia" w:ascii="楷体" w:hAnsi="楷体" w:eastAsia="楷体" w:cs="楷体"/>
                <w:b/>
                <w:szCs w:val="21"/>
              </w:rPr>
              <w:t>素</w:t>
            </w:r>
          </w:p>
        </w:tc>
        <w:tc>
          <w:tcPr>
            <w:tcW w:w="6842" w:type="dxa"/>
            <w:vAlign w:val="bottom"/>
          </w:tcPr>
          <w:p>
            <w:pPr>
              <w:jc w:val="center"/>
              <w:rPr>
                <w:rFonts w:ascii="方正仿宋_GBK" w:hAnsi="宋体" w:eastAsia="方正仿宋_GBK"/>
                <w:b/>
                <w:szCs w:val="21"/>
              </w:rPr>
            </w:pPr>
            <w:r>
              <w:rPr>
                <w:rFonts w:hint="eastAsia" w:ascii="楷体" w:hAnsi="楷体" w:eastAsia="楷体" w:cs="楷体"/>
                <w:b/>
                <w:szCs w:val="21"/>
              </w:rPr>
              <w:t>评</w:t>
            </w:r>
            <w:r>
              <w:rPr>
                <w:rFonts w:hint="eastAsia" w:ascii="楷体" w:hAnsi="楷体" w:eastAsia="楷体" w:cs="楷体"/>
                <w:b/>
                <w:szCs w:val="21"/>
                <w:lang w:val="en-US" w:eastAsia="zh-CN"/>
              </w:rPr>
              <w:t xml:space="preserve"> </w:t>
            </w:r>
            <w:r>
              <w:rPr>
                <w:rFonts w:hint="eastAsia" w:ascii="楷体" w:hAnsi="楷体" w:eastAsia="楷体" w:cs="楷体"/>
                <w:b/>
                <w:szCs w:val="21"/>
              </w:rPr>
              <w:t>审</w:t>
            </w:r>
            <w:r>
              <w:rPr>
                <w:rFonts w:hint="eastAsia" w:ascii="楷体" w:hAnsi="楷体" w:eastAsia="楷体" w:cs="楷体"/>
                <w:b/>
                <w:szCs w:val="21"/>
                <w:lang w:val="en-US" w:eastAsia="zh-CN"/>
              </w:rPr>
              <w:t xml:space="preserve"> </w:t>
            </w:r>
            <w:r>
              <w:rPr>
                <w:rFonts w:hint="eastAsia" w:ascii="楷体" w:hAnsi="楷体" w:eastAsia="楷体" w:cs="楷体"/>
                <w:b/>
                <w:szCs w:val="21"/>
              </w:rPr>
              <w:t>标</w:t>
            </w:r>
            <w:r>
              <w:rPr>
                <w:rFonts w:hint="eastAsia" w:ascii="楷体" w:hAnsi="楷体" w:eastAsia="楷体" w:cs="楷体"/>
                <w:b/>
                <w:szCs w:val="21"/>
                <w:lang w:val="en-US" w:eastAsia="zh-CN"/>
              </w:rPr>
              <w:t xml:space="preserve"> </w:t>
            </w:r>
            <w:r>
              <w:rPr>
                <w:rFonts w:hint="eastAsia" w:ascii="楷体" w:hAnsi="楷体" w:eastAsia="楷体" w:cs="楷体"/>
                <w:b/>
                <w:szCs w:val="21"/>
              </w:rPr>
              <w:t>准</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2454" w:type="dxa"/>
            <w:vAlign w:val="center"/>
          </w:tcPr>
          <w:p>
            <w:pPr>
              <w:spacing w:line="500" w:lineRule="exact"/>
              <w:jc w:val="center"/>
              <w:rPr>
                <w:rFonts w:hint="eastAsia" w:ascii="楷体" w:hAnsi="楷体" w:eastAsia="楷体" w:cs="楷体"/>
                <w:color w:val="000000"/>
                <w:sz w:val="32"/>
                <w:szCs w:val="32"/>
              </w:rPr>
            </w:pPr>
            <w:r>
              <w:rPr>
                <w:rFonts w:hint="eastAsia" w:ascii="楷体" w:hAnsi="楷体" w:eastAsia="楷体" w:cs="楷体"/>
                <w:color w:val="000000"/>
                <w:sz w:val="32"/>
                <w:szCs w:val="32"/>
              </w:rPr>
              <w:t>服务体系、规范化管理体系、现场服务、实施方案及售后服务方案</w:t>
            </w:r>
          </w:p>
          <w:p>
            <w:pPr>
              <w:spacing w:line="500" w:lineRule="exact"/>
              <w:jc w:val="center"/>
              <w:rPr>
                <w:rFonts w:hint="eastAsia" w:ascii="楷体" w:hAnsi="楷体" w:eastAsia="楷体" w:cs="楷体"/>
                <w:color w:val="000000"/>
                <w:sz w:val="32"/>
                <w:szCs w:val="32"/>
              </w:rPr>
            </w:pPr>
            <w:r>
              <w:rPr>
                <w:rFonts w:hint="eastAsia" w:ascii="楷体" w:hAnsi="楷体" w:eastAsia="楷体" w:cs="楷体"/>
                <w:color w:val="000000"/>
                <w:sz w:val="32"/>
                <w:szCs w:val="32"/>
              </w:rPr>
              <w:t>（满分30分）</w:t>
            </w:r>
          </w:p>
        </w:tc>
        <w:tc>
          <w:tcPr>
            <w:tcW w:w="6842" w:type="dxa"/>
            <w:vAlign w:val="center"/>
          </w:tcPr>
          <w:p>
            <w:pPr>
              <w:spacing w:line="500" w:lineRule="exact"/>
              <w:rPr>
                <w:rFonts w:hint="eastAsia" w:ascii="楷体" w:hAnsi="楷体" w:eastAsia="楷体" w:cs="楷体"/>
                <w:color w:val="000000"/>
                <w:sz w:val="32"/>
                <w:szCs w:val="32"/>
                <w:lang w:eastAsia="zh-CN"/>
              </w:rPr>
            </w:pPr>
            <w:r>
              <w:rPr>
                <w:rFonts w:hint="eastAsia" w:ascii="楷体" w:hAnsi="楷体" w:eastAsia="楷体" w:cs="楷体"/>
                <w:color w:val="000000"/>
                <w:sz w:val="32"/>
                <w:szCs w:val="32"/>
                <w:lang w:eastAsia="zh-CN"/>
              </w:rPr>
              <w:t>第一个档次（21-30分）：有完善的服务体系、管理体系，技术服务团队人员能及时响应，质量承诺及保证措施、售后服务能力及服务保障措施、技术方案、培训计划及课程安排、培训师资力量配备、应急预案完善具体，针对性强，有明确的违约责任，现场服务技术力量及人员组成优；</w:t>
            </w:r>
          </w:p>
          <w:p>
            <w:pPr>
              <w:spacing w:line="500" w:lineRule="exact"/>
              <w:rPr>
                <w:rFonts w:hint="eastAsia" w:ascii="楷体" w:hAnsi="楷体" w:eastAsia="楷体" w:cs="楷体"/>
                <w:color w:val="000000"/>
                <w:sz w:val="32"/>
                <w:szCs w:val="32"/>
                <w:lang w:eastAsia="zh-CN"/>
              </w:rPr>
            </w:pPr>
            <w:r>
              <w:rPr>
                <w:rFonts w:hint="eastAsia" w:ascii="楷体" w:hAnsi="楷体" w:eastAsia="楷体" w:cs="楷体"/>
                <w:color w:val="000000"/>
                <w:sz w:val="32"/>
                <w:szCs w:val="32"/>
                <w:lang w:eastAsia="zh-CN"/>
              </w:rPr>
              <w:t>第二个档次（11-20分）：有规范的服务体系、管理体系，质量承诺及保证措施、售后服务能力及服务保障措施、技术方案、培训计划及课程安排、培训师资力量配备、应急预案具体可行，有一定的针对性，有明确的违约责任，现场服务技术力量及人员组成良好；</w:t>
            </w:r>
          </w:p>
          <w:p>
            <w:pPr>
              <w:spacing w:line="500" w:lineRule="exact"/>
              <w:rPr>
                <w:rFonts w:hint="eastAsia" w:ascii="楷体" w:hAnsi="楷体" w:eastAsia="宋体" w:cs="楷体"/>
                <w:color w:val="000000"/>
                <w:sz w:val="32"/>
                <w:szCs w:val="32"/>
                <w:lang w:eastAsia="zh-CN"/>
              </w:rPr>
            </w:pPr>
            <w:r>
              <w:rPr>
                <w:rFonts w:hint="eastAsia" w:ascii="楷体" w:hAnsi="楷体" w:eastAsia="楷体" w:cs="楷体"/>
                <w:color w:val="000000"/>
                <w:sz w:val="32"/>
                <w:szCs w:val="32"/>
                <w:lang w:eastAsia="zh-CN"/>
              </w:rPr>
              <w:t>第三个档次（0-10分）：服务体系、管理体系规范性一般，质量承诺及保证措施、售后服务能力及服务保障措施、技术方案、培训计划及课程安排、培训师资力量配备、应急预案基本可行，但缺乏针对性，违约责任不具体，现场服务技术力量及人员组成一般。</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2454" w:type="dxa"/>
            <w:vAlign w:val="center"/>
          </w:tcPr>
          <w:p>
            <w:pPr>
              <w:spacing w:line="500" w:lineRule="exact"/>
              <w:jc w:val="center"/>
              <w:rPr>
                <w:rFonts w:hint="eastAsia" w:ascii="楷体" w:hAnsi="楷体" w:eastAsia="楷体" w:cs="楷体"/>
                <w:color w:val="000000"/>
                <w:sz w:val="32"/>
                <w:szCs w:val="32"/>
              </w:rPr>
            </w:pPr>
            <w:r>
              <w:rPr>
                <w:rFonts w:hint="eastAsia" w:ascii="楷体" w:hAnsi="楷体" w:eastAsia="楷体" w:cs="楷体"/>
                <w:color w:val="000000"/>
                <w:sz w:val="32"/>
                <w:szCs w:val="32"/>
              </w:rPr>
              <w:t>服务需求</w:t>
            </w:r>
          </w:p>
          <w:p>
            <w:pPr>
              <w:spacing w:line="500" w:lineRule="exact"/>
              <w:jc w:val="center"/>
              <w:rPr>
                <w:rFonts w:hint="eastAsia" w:ascii="方正仿宋_GBK" w:hAnsi="宋体" w:eastAsia="方正仿宋_GBK" w:cs="宋体"/>
                <w:color w:val="000000"/>
                <w:sz w:val="32"/>
                <w:szCs w:val="32"/>
              </w:rPr>
            </w:pPr>
            <w:r>
              <w:rPr>
                <w:rFonts w:hint="eastAsia" w:ascii="楷体" w:hAnsi="楷体" w:eastAsia="楷体" w:cs="楷体"/>
                <w:color w:val="000000"/>
                <w:sz w:val="32"/>
                <w:szCs w:val="32"/>
              </w:rPr>
              <w:t>（满分18分）</w:t>
            </w:r>
          </w:p>
        </w:tc>
        <w:tc>
          <w:tcPr>
            <w:tcW w:w="6842" w:type="dxa"/>
            <w:vAlign w:val="center"/>
          </w:tcPr>
          <w:p>
            <w:pPr>
              <w:spacing w:line="500" w:lineRule="exact"/>
              <w:rPr>
                <w:rFonts w:hint="eastAsia" w:ascii="方正仿宋_GBK" w:hAnsi="宋体" w:eastAsia="方正仿宋_GBK" w:cs="宋体"/>
                <w:color w:val="000000"/>
                <w:sz w:val="32"/>
                <w:szCs w:val="32"/>
              </w:rPr>
            </w:pPr>
            <w:r>
              <w:rPr>
                <w:rFonts w:hint="eastAsia" w:ascii="楷体" w:hAnsi="楷体" w:eastAsia="楷体" w:cs="楷体"/>
                <w:color w:val="000000"/>
                <w:sz w:val="32"/>
                <w:szCs w:val="32"/>
                <w:lang w:eastAsia="zh-CN"/>
              </w:rPr>
              <w:t>供应商完全响应招标项目服务需求的，得18分，每不响应一条服务需求扣6分，分数扣完为止。响应内容未描述或未提供相应支撑材料的，对应项不得分。</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2454" w:type="dxa"/>
            <w:vAlign w:val="center"/>
          </w:tcPr>
          <w:p>
            <w:pPr>
              <w:spacing w:line="500" w:lineRule="exact"/>
              <w:jc w:val="center"/>
              <w:rPr>
                <w:rFonts w:hint="eastAsia" w:ascii="楷体" w:hAnsi="楷体" w:eastAsia="楷体" w:cs="楷体"/>
                <w:color w:val="000000"/>
                <w:sz w:val="32"/>
                <w:szCs w:val="32"/>
                <w:lang w:val="en-US" w:eastAsia="zh-CN"/>
              </w:rPr>
            </w:pPr>
            <w:r>
              <w:rPr>
                <w:rFonts w:hint="eastAsia" w:ascii="楷体" w:hAnsi="楷体" w:eastAsia="楷体" w:cs="楷体"/>
                <w:color w:val="000000"/>
                <w:sz w:val="32"/>
                <w:szCs w:val="32"/>
                <w:lang w:val="en-US" w:eastAsia="zh-CN"/>
              </w:rPr>
              <w:t>质量要求</w:t>
            </w:r>
          </w:p>
          <w:p>
            <w:pPr>
              <w:spacing w:line="500" w:lineRule="exact"/>
              <w:jc w:val="center"/>
              <w:rPr>
                <w:rFonts w:hint="eastAsia" w:ascii="楷体" w:hAnsi="楷体" w:eastAsia="楷体" w:cs="楷体"/>
                <w:color w:val="000000"/>
                <w:sz w:val="32"/>
                <w:szCs w:val="32"/>
              </w:rPr>
            </w:pPr>
            <w:r>
              <w:rPr>
                <w:rFonts w:hint="eastAsia" w:ascii="楷体" w:hAnsi="楷体" w:eastAsia="楷体" w:cs="楷体"/>
                <w:color w:val="000000"/>
                <w:sz w:val="32"/>
                <w:szCs w:val="32"/>
                <w:lang w:val="en-US" w:eastAsia="zh-CN"/>
              </w:rPr>
              <w:t>（满分10分）</w:t>
            </w:r>
          </w:p>
        </w:tc>
        <w:tc>
          <w:tcPr>
            <w:tcW w:w="6842" w:type="dxa"/>
            <w:vAlign w:val="center"/>
          </w:tcPr>
          <w:p>
            <w:pPr>
              <w:spacing w:line="500" w:lineRule="exact"/>
              <w:rPr>
                <w:rFonts w:hint="eastAsia" w:ascii="楷体" w:hAnsi="楷体" w:eastAsia="楷体" w:cs="楷体"/>
                <w:color w:val="000000"/>
                <w:sz w:val="32"/>
                <w:szCs w:val="32"/>
                <w:lang w:eastAsia="zh-CN"/>
              </w:rPr>
            </w:pPr>
            <w:r>
              <w:rPr>
                <w:rFonts w:hint="eastAsia" w:ascii="楷体" w:hAnsi="楷体" w:eastAsia="楷体" w:cs="楷体"/>
                <w:color w:val="000000"/>
                <w:sz w:val="32"/>
                <w:szCs w:val="32"/>
                <w:lang w:eastAsia="zh-CN"/>
              </w:rPr>
              <w:t>供应商完全响应招标项目质量要求的，得10分，每不响应一条质量要求扣2.5分，分数扣完为止。响应内容未描述或未提供相应支撑材料的，对应项不得分。</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2454" w:type="dxa"/>
            <w:vAlign w:val="center"/>
          </w:tcPr>
          <w:p>
            <w:pPr>
              <w:spacing w:line="500" w:lineRule="exact"/>
              <w:jc w:val="center"/>
              <w:rPr>
                <w:rFonts w:hint="eastAsia" w:ascii="楷体" w:hAnsi="楷体" w:eastAsia="楷体" w:cs="楷体"/>
                <w:color w:val="000000"/>
                <w:sz w:val="32"/>
                <w:szCs w:val="32"/>
              </w:rPr>
            </w:pPr>
            <w:r>
              <w:rPr>
                <w:rFonts w:hint="eastAsia" w:ascii="楷体" w:hAnsi="楷体" w:eastAsia="楷体" w:cs="楷体"/>
                <w:color w:val="000000"/>
                <w:sz w:val="32"/>
                <w:szCs w:val="32"/>
              </w:rPr>
              <w:t>业绩</w:t>
            </w:r>
          </w:p>
          <w:p>
            <w:pPr>
              <w:spacing w:line="500" w:lineRule="exact"/>
              <w:jc w:val="center"/>
              <w:rPr>
                <w:rFonts w:hint="eastAsia" w:ascii="楷体" w:hAnsi="楷体" w:eastAsia="楷体" w:cs="楷体"/>
                <w:color w:val="000000"/>
                <w:sz w:val="32"/>
                <w:szCs w:val="32"/>
              </w:rPr>
            </w:pPr>
            <w:r>
              <w:rPr>
                <w:rFonts w:hint="eastAsia" w:ascii="楷体" w:hAnsi="楷体" w:eastAsia="楷体" w:cs="楷体"/>
                <w:color w:val="000000"/>
                <w:sz w:val="32"/>
                <w:szCs w:val="32"/>
              </w:rPr>
              <w:t>(满分10分)</w:t>
            </w:r>
          </w:p>
        </w:tc>
        <w:tc>
          <w:tcPr>
            <w:tcW w:w="6842" w:type="dxa"/>
            <w:vAlign w:val="center"/>
          </w:tcPr>
          <w:p>
            <w:pPr>
              <w:spacing w:line="500" w:lineRule="exact"/>
              <w:rPr>
                <w:rFonts w:hint="eastAsia" w:ascii="楷体" w:hAnsi="楷体" w:eastAsia="楷体" w:cs="楷体"/>
                <w:color w:val="000000"/>
                <w:sz w:val="32"/>
                <w:szCs w:val="32"/>
                <w:lang w:eastAsia="zh-CN"/>
              </w:rPr>
            </w:pPr>
            <w:r>
              <w:rPr>
                <w:rFonts w:hint="eastAsia" w:ascii="楷体" w:hAnsi="楷体" w:eastAsia="楷体" w:cs="楷体"/>
                <w:color w:val="000000"/>
                <w:sz w:val="32"/>
                <w:szCs w:val="32"/>
                <w:lang w:eastAsia="zh-CN"/>
              </w:rPr>
              <w:t>近3年内有核医学退役项目或者核医学新建项目业绩，提供1个得基础分2分，每增加一个得2分，满分10分。（以2022年至今签订合同或发票或中标通知书等能证明业绩的复印件作为证明材料，加盖公章）</w:t>
            </w:r>
            <w:bookmarkStart w:id="0" w:name="_GoBack"/>
            <w:bookmarkEnd w:id="0"/>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2454" w:type="dxa"/>
            <w:vAlign w:val="center"/>
          </w:tcPr>
          <w:p>
            <w:pPr>
              <w:spacing w:line="500" w:lineRule="exact"/>
              <w:jc w:val="center"/>
              <w:rPr>
                <w:rFonts w:hint="eastAsia" w:ascii="楷体" w:hAnsi="楷体" w:eastAsia="楷体" w:cs="楷体"/>
                <w:color w:val="000000"/>
                <w:sz w:val="32"/>
                <w:szCs w:val="32"/>
              </w:rPr>
            </w:pPr>
            <w:r>
              <w:rPr>
                <w:rFonts w:hint="eastAsia" w:ascii="楷体" w:hAnsi="楷体" w:eastAsia="楷体" w:cs="楷体"/>
                <w:color w:val="000000"/>
                <w:sz w:val="32"/>
                <w:szCs w:val="32"/>
              </w:rPr>
              <w:t>人员配置</w:t>
            </w:r>
          </w:p>
          <w:p>
            <w:pPr>
              <w:spacing w:line="500" w:lineRule="exact"/>
              <w:jc w:val="center"/>
              <w:rPr>
                <w:rFonts w:hint="eastAsia" w:ascii="楷体" w:hAnsi="楷体" w:eastAsia="楷体" w:cs="楷体"/>
                <w:color w:val="000000"/>
                <w:sz w:val="32"/>
                <w:szCs w:val="32"/>
              </w:rPr>
            </w:pPr>
            <w:r>
              <w:rPr>
                <w:rFonts w:hint="eastAsia" w:ascii="楷体" w:hAnsi="楷体" w:eastAsia="楷体" w:cs="楷体"/>
                <w:color w:val="000000"/>
                <w:sz w:val="32"/>
                <w:szCs w:val="32"/>
              </w:rPr>
              <w:t>（满分12分）</w:t>
            </w:r>
          </w:p>
        </w:tc>
        <w:tc>
          <w:tcPr>
            <w:tcW w:w="6842" w:type="dxa"/>
            <w:vAlign w:val="center"/>
          </w:tcPr>
          <w:p>
            <w:pPr>
              <w:spacing w:line="500" w:lineRule="exact"/>
              <w:rPr>
                <w:rFonts w:hint="eastAsia" w:ascii="楷体" w:hAnsi="楷体" w:eastAsia="楷体" w:cs="楷体"/>
                <w:color w:val="000000"/>
                <w:sz w:val="32"/>
                <w:szCs w:val="32"/>
                <w:lang w:eastAsia="zh-CN"/>
              </w:rPr>
            </w:pPr>
            <w:r>
              <w:rPr>
                <w:rFonts w:hint="eastAsia" w:ascii="楷体" w:hAnsi="楷体" w:eastAsia="楷体" w:cs="楷体"/>
                <w:color w:val="000000"/>
                <w:sz w:val="32"/>
                <w:szCs w:val="32"/>
                <w:lang w:eastAsia="zh-CN"/>
              </w:rPr>
              <w:t>项目组成员需具备注册环评工程师证书或注册核安全工程师证书，每有1名工程师满足条件加1分，最多得12分。（提供相关资质证书及该人员在投标单位缴纳的社会保险证明)</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2454" w:type="dxa"/>
            <w:vAlign w:val="center"/>
          </w:tcPr>
          <w:p>
            <w:pPr>
              <w:spacing w:line="500" w:lineRule="exact"/>
              <w:jc w:val="center"/>
              <w:rPr>
                <w:rFonts w:hint="eastAsia" w:ascii="楷体" w:hAnsi="楷体" w:eastAsia="楷体" w:cs="楷体"/>
                <w:color w:val="000000"/>
                <w:sz w:val="32"/>
                <w:szCs w:val="32"/>
              </w:rPr>
            </w:pPr>
            <w:r>
              <w:rPr>
                <w:rFonts w:hint="eastAsia" w:ascii="楷体" w:hAnsi="楷体" w:eastAsia="楷体" w:cs="楷体"/>
                <w:color w:val="000000"/>
                <w:sz w:val="32"/>
                <w:szCs w:val="32"/>
              </w:rPr>
              <w:t>投标报价</w:t>
            </w:r>
          </w:p>
          <w:p>
            <w:pPr>
              <w:spacing w:line="500" w:lineRule="exact"/>
              <w:jc w:val="center"/>
              <w:rPr>
                <w:rFonts w:hint="eastAsia" w:ascii="楷体" w:hAnsi="楷体" w:eastAsia="楷体" w:cs="楷体"/>
                <w:color w:val="000000"/>
                <w:sz w:val="32"/>
                <w:szCs w:val="32"/>
              </w:rPr>
            </w:pPr>
            <w:r>
              <w:rPr>
                <w:rFonts w:hint="eastAsia" w:ascii="楷体" w:hAnsi="楷体" w:eastAsia="楷体" w:cs="楷体"/>
                <w:color w:val="000000"/>
                <w:sz w:val="32"/>
                <w:szCs w:val="32"/>
              </w:rPr>
              <w:t>（满分20分）</w:t>
            </w:r>
          </w:p>
        </w:tc>
        <w:tc>
          <w:tcPr>
            <w:tcW w:w="6842" w:type="dxa"/>
            <w:vAlign w:val="center"/>
          </w:tcPr>
          <w:p>
            <w:pPr>
              <w:spacing w:line="500" w:lineRule="exact"/>
              <w:rPr>
                <w:rFonts w:hint="eastAsia" w:ascii="楷体" w:hAnsi="楷体" w:eastAsia="楷体" w:cs="楷体"/>
                <w:color w:val="000000"/>
                <w:sz w:val="32"/>
                <w:szCs w:val="32"/>
                <w:lang w:val="en-US" w:eastAsia="zh-CN"/>
              </w:rPr>
            </w:pPr>
            <w:r>
              <w:rPr>
                <w:rFonts w:hint="eastAsia" w:ascii="楷体" w:hAnsi="楷体" w:eastAsia="楷体" w:cs="楷体"/>
                <w:color w:val="000000"/>
                <w:sz w:val="32"/>
                <w:szCs w:val="32"/>
                <w:lang w:val="en-US" w:eastAsia="zh-CN"/>
              </w:rPr>
              <w:t>投标报价得分=（评标基准价/投标报价）*20</w:t>
            </w:r>
          </w:p>
          <w:p>
            <w:pPr>
              <w:spacing w:line="500" w:lineRule="exact"/>
              <w:rPr>
                <w:rFonts w:hint="default"/>
                <w:lang w:val="en-US" w:eastAsia="zh-CN"/>
              </w:rPr>
            </w:pPr>
            <w:r>
              <w:rPr>
                <w:rFonts w:hint="eastAsia" w:ascii="楷体" w:hAnsi="楷体" w:eastAsia="楷体" w:cs="楷体"/>
                <w:color w:val="000000"/>
                <w:sz w:val="32"/>
                <w:szCs w:val="32"/>
                <w:lang w:val="en-US" w:eastAsia="zh-CN"/>
              </w:rPr>
              <w:t>符合要求且报价最低的点位数单价为评标基准价，小数点后取两位有效，第三位四舍五入。</w:t>
            </w:r>
          </w:p>
        </w:tc>
      </w:tr>
    </w:tbl>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仿宋_GBK">
    <w:altName w:val="微软雅黑"/>
    <w:panose1 w:val="02000000000000000000"/>
    <w:charset w:val="86"/>
    <w:family w:val="script"/>
    <w:pitch w:val="default"/>
    <w:sig w:usb0="00000000" w:usb1="00000000" w:usb2="00082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7A17E4"/>
    <w:rsid w:val="009E7811"/>
    <w:rsid w:val="016978EC"/>
    <w:rsid w:val="023C0BB7"/>
    <w:rsid w:val="0427439C"/>
    <w:rsid w:val="060E6E01"/>
    <w:rsid w:val="076149BE"/>
    <w:rsid w:val="08043E65"/>
    <w:rsid w:val="093A0A44"/>
    <w:rsid w:val="0A8F36CF"/>
    <w:rsid w:val="0AC857FF"/>
    <w:rsid w:val="0BA70535"/>
    <w:rsid w:val="0D361D45"/>
    <w:rsid w:val="0D6E21C5"/>
    <w:rsid w:val="0DE1051C"/>
    <w:rsid w:val="0E18196A"/>
    <w:rsid w:val="0F013032"/>
    <w:rsid w:val="0F587D59"/>
    <w:rsid w:val="1056251E"/>
    <w:rsid w:val="11BC0A69"/>
    <w:rsid w:val="13396F80"/>
    <w:rsid w:val="15EE7198"/>
    <w:rsid w:val="177472A7"/>
    <w:rsid w:val="18FE5E8A"/>
    <w:rsid w:val="192F3615"/>
    <w:rsid w:val="197A17E4"/>
    <w:rsid w:val="199E4E43"/>
    <w:rsid w:val="1A087960"/>
    <w:rsid w:val="1B574A22"/>
    <w:rsid w:val="1C7849BA"/>
    <w:rsid w:val="2067164B"/>
    <w:rsid w:val="219C3507"/>
    <w:rsid w:val="2497112B"/>
    <w:rsid w:val="2D9A7C25"/>
    <w:rsid w:val="2F965B49"/>
    <w:rsid w:val="30EB7769"/>
    <w:rsid w:val="32917E5B"/>
    <w:rsid w:val="33FE5091"/>
    <w:rsid w:val="369C3871"/>
    <w:rsid w:val="3ABD4C2D"/>
    <w:rsid w:val="3B3C655A"/>
    <w:rsid w:val="3DA91811"/>
    <w:rsid w:val="3DB15037"/>
    <w:rsid w:val="3E6D673C"/>
    <w:rsid w:val="3F2B4899"/>
    <w:rsid w:val="40406053"/>
    <w:rsid w:val="40BF2799"/>
    <w:rsid w:val="489B4B4F"/>
    <w:rsid w:val="48CB0C9A"/>
    <w:rsid w:val="498725CE"/>
    <w:rsid w:val="4B66094A"/>
    <w:rsid w:val="4CF52F85"/>
    <w:rsid w:val="4F0B2957"/>
    <w:rsid w:val="50331872"/>
    <w:rsid w:val="507066ED"/>
    <w:rsid w:val="50D95101"/>
    <w:rsid w:val="5118044C"/>
    <w:rsid w:val="5553476A"/>
    <w:rsid w:val="5ABB64AB"/>
    <w:rsid w:val="60855FFD"/>
    <w:rsid w:val="64486231"/>
    <w:rsid w:val="656D2DC5"/>
    <w:rsid w:val="68460FE1"/>
    <w:rsid w:val="6D1E69D5"/>
    <w:rsid w:val="70D20CE7"/>
    <w:rsid w:val="732B7C49"/>
    <w:rsid w:val="78E36768"/>
    <w:rsid w:val="798164A5"/>
    <w:rsid w:val="7C8874E9"/>
    <w:rsid w:val="7DC62085"/>
    <w:rsid w:val="7E494CEB"/>
    <w:rsid w:val="7F146F95"/>
    <w:rsid w:val="7FD651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76" w:lineRule="auto"/>
    </w:pPr>
    <w:rPr>
      <w:rFonts w:ascii="Tahoma" w:hAnsi="Tahoma" w:eastAsia="微软雅黑" w:cstheme="minorBidi"/>
      <w:sz w:val="22"/>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widowControl w:val="0"/>
      <w:spacing w:after="0" w:line="360" w:lineRule="auto"/>
      <w:ind w:firstLine="420"/>
      <w:jc w:val="both"/>
    </w:pPr>
    <w:rPr>
      <w:rFonts w:ascii="Times New Roman" w:hAnsi="Times New Roman" w:eastAsia="宋体" w:cs="Times New Roman"/>
      <w:kern w:val="2"/>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19F58C00FFDE47458F57D0BE5C0DADD2</vt:lpwstr>
  </property>
</Properties>
</file>