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8990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53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536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响应文件内容完整性和编制水平</w:t>
            </w:r>
          </w:p>
          <w:p>
            <w:pPr>
              <w:spacing w:line="500" w:lineRule="exact"/>
              <w:ind w:firstLine="320" w:firstLineChars="100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8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(8-6分)：投标文件内容完整、真实、资料齐全、严谨周密，编制水平优（文件层次分明，章节清晰，编码完整，不掉页、缺页、错页，无含义不明确、同类问题表述不一致情况，无明显文字和计算错误的内容等）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第二个档次(5-3分)：投标文件内容完整、真实、齐全，编制水平良好；</w:t>
            </w:r>
          </w:p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第三个档次(2-0分)：投标文件内容基本完整，编制水平一般。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分，每有一个缺陷扣2分，分数扣完为止。技术和功能响应未描述或未提供相应支撑材料的，对应项不得分。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服务体系、规范化管理体系、现场服务及服务机构技术力量、售后服务方案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15-10分）：有完善的服务体系、管理体系，技术服务团队人员能及时响应并解决故障，售后服务方案、技术方案、培训方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第二个档次（9-5分）：有规范的服务体系、管理体系，售后服务方案、技术方案、培训方案具体可行，有一定的针对性，有明确的违约责任，现场服务技术力量及人员组成良好；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第三个档次（4-0分）：服务体系、管理体系规范性一般，售后服务方案、技术方案、培训方案基本可行，但缺乏针对性，违约责任不具体，现场服务技术力量及人员组成一般。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到货期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（满分5分）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按医院下单至安装验收交付期限天数（到货期）时间由短至长排序，交付期限最短得满分5分，按排序依次递减1分，排名相同得分相同。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7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质保3年得基础分5分，每增加1年得1分，满分7分。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2022年至今参与项目供应商销售响应产品的业绩，提供1个得基础分2分，每增加一个得1分，满分5分，未提供不得分。（业绩需2022年至今签订的合同、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发票</w:t>
            </w:r>
            <w:bookmarkStart w:id="0" w:name="_GoBack"/>
            <w:bookmarkEnd w:id="0"/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复印件加盖公章作为证明材料）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536" w:type="dxa"/>
            <w:vAlign w:val="center"/>
          </w:tcPr>
          <w:p>
            <w:pPr>
              <w:spacing w:line="500" w:lineRule="exact"/>
              <w:rPr>
                <w:rFonts w:hint="default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16978EC"/>
    <w:rsid w:val="13396F80"/>
    <w:rsid w:val="15EE7198"/>
    <w:rsid w:val="192F3615"/>
    <w:rsid w:val="197A17E4"/>
    <w:rsid w:val="1A087960"/>
    <w:rsid w:val="3DA91811"/>
    <w:rsid w:val="69574262"/>
    <w:rsid w:val="78BE0948"/>
    <w:rsid w:val="78E36768"/>
    <w:rsid w:val="7DC6208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15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2024-05-24T09:57:54Z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4C2816F09F6D4D9CA77520D40B83C140</vt:lpwstr>
  </property>
</Properties>
</file>