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9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5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536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响应文件内容完整性和编制水平</w:t>
            </w:r>
          </w:p>
          <w:p>
            <w:pPr>
              <w:spacing w:line="500" w:lineRule="exact"/>
              <w:ind w:firstLine="320" w:firstLineChars="100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6-5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分)：投标文件内容完整、真实、资料齐全、严谨周密，编制水平优（文件层次分明，章节清晰，编码完整，不掉页、缺页、错页，无含义不明确、同类问题表述不一致情况，无明显文字和计算错误的内容等）；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4-3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分)：投标文件内容完整、真实、齐全，编制水平良好；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3-2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分)：投标文件内容基本完整，编制水平一般；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0分)：投标文件内容不完整、不真实，编制差。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重要参数不响应扣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条一般参数不响应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服务体系、规范化管理体系、现场服务及服务机构技术力量、售后服务方案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7-5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分）：有完善的服务体系、管理体系，技术服务团队人员能及时响应并解决故障，售后服务方案、技术方案、培训方案完善具体，针对性强，有明确的违约责任，现场服务技术力量及人员组成优；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4-2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分）：有规范的服务体系、管理体系，售后服务方案、技术方案、培训方案具体可行，有一定的针对性，有明确的违约责任，现场服务技术力量及人员组成良好；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1-0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分）：服务体系、管理体系规范性一般，售后服务方案、技术方案、培训方案基本可行，但缺乏针对性，违约责任不具体，现场服务技术力量及人员组成一般。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到货期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按医院下单至安装验收交付期限天数（到货期）时间由短至长排序，交付期限最短得满分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分，按排序依次递减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分，排名相同得分相同。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分，每增加1年得1分，满分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2022年至今参与项目供应商销售响应产品的业绩，提供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分，未提供不得分。（业绩需2022年至今签订的合同、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发票等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复印件加盖公章作为证明材料）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16978EC"/>
    <w:rsid w:val="13396F80"/>
    <w:rsid w:val="15EE7198"/>
    <w:rsid w:val="192F3615"/>
    <w:rsid w:val="197A17E4"/>
    <w:rsid w:val="1A087960"/>
    <w:rsid w:val="268D5950"/>
    <w:rsid w:val="3DA91811"/>
    <w:rsid w:val="3E6D673C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2024-05-27T02:49:03Z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4C2816F09F6D4D9CA77520D40B83C140</vt:lpwstr>
  </property>
</Properties>
</file>